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cs="宋体" w:asciiTheme="minorEastAsia" w:hAnsiTheme="minorEastAsia" w:eastAsiaTheme="minorEastAsia"/>
          <w:b/>
          <w:bCs/>
          <w:color w:val="auto"/>
          <w:sz w:val="28"/>
          <w:szCs w:val="28"/>
        </w:rPr>
      </w:pPr>
    </w:p>
    <w:p>
      <w:pPr>
        <w:pStyle w:val="2"/>
        <w:ind w:firstLine="280"/>
        <w:rPr>
          <w:rFonts w:asciiTheme="minorEastAsia" w:hAnsiTheme="minorEastAsia" w:eastAsiaTheme="minorEastAsia"/>
          <w:color w:val="auto"/>
          <w:sz w:val="28"/>
          <w:szCs w:val="28"/>
        </w:rPr>
      </w:pP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浙江康复医院</w:t>
      </w: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检验科设备、天轨康复训练系统</w:t>
      </w:r>
    </w:p>
    <w:p>
      <w:pPr>
        <w:snapToGrid w:val="0"/>
        <w:ind w:firstLine="562"/>
        <w:jc w:val="center"/>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招标文件</w:t>
      </w: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检验科设备、天轨康复训练系统</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浙财采确【2019】37854号、39726号</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ZJXL-MZKF-201902</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浙江康复医院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代理机构：浙江信镧建设工程咨询有限公司</w:t>
      </w:r>
    </w:p>
    <w:p>
      <w:pPr>
        <w:snapToGrid w:val="0"/>
        <w:ind w:firstLine="560"/>
        <w:rPr>
          <w:rFonts w:cs="宋体" w:asciiTheme="minorEastAsia" w:hAnsiTheme="minorEastAsia" w:eastAsiaTheme="minorEastAsia"/>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247" w:right="1304" w:bottom="1020" w:left="1304" w:header="720" w:footer="720" w:gutter="0"/>
          <w:cols w:space="720" w:num="1"/>
          <w:docGrid w:type="lines" w:linePitch="312" w:charSpace="0"/>
        </w:sect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期：二〇一九年</w:t>
      </w:r>
      <w:r>
        <w:rPr>
          <w:rFonts w:hint="eastAsia" w:cs="宋体" w:asciiTheme="minorEastAsia" w:hAnsiTheme="minorEastAsia" w:eastAsiaTheme="minorEastAsia"/>
          <w:color w:val="auto"/>
          <w:sz w:val="28"/>
          <w:szCs w:val="28"/>
          <w:lang w:eastAsia="zh-CN"/>
        </w:rPr>
        <w:t>九</w:t>
      </w:r>
      <w:r>
        <w:rPr>
          <w:rFonts w:hint="eastAsia" w:cs="宋体" w:asciiTheme="minorEastAsia" w:hAnsiTheme="minorEastAsia" w:eastAsiaTheme="minorEastAsia"/>
          <w:color w:val="auto"/>
          <w:sz w:val="28"/>
          <w:szCs w:val="28"/>
        </w:rPr>
        <w:t>月</w:t>
      </w:r>
    </w:p>
    <w:p>
      <w:pPr>
        <w:pStyle w:val="38"/>
        <w:spacing w:line="360" w:lineRule="auto"/>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 xml:space="preserve">目 </w:t>
      </w:r>
      <w:r>
        <w:rPr>
          <w:rFonts w:cs="宋体" w:asciiTheme="minorEastAsia" w:hAnsiTheme="minorEastAsia" w:eastAsiaTheme="minorEastAsia"/>
          <w:color w:val="auto"/>
          <w:lang w:val="zh-CN"/>
        </w:rPr>
        <w:t xml:space="preserve"> </w:t>
      </w:r>
      <w:r>
        <w:rPr>
          <w:rFonts w:hint="eastAsia" w:cs="宋体" w:asciiTheme="minorEastAsia" w:hAnsiTheme="minorEastAsia" w:eastAsiaTheme="minorEastAsia"/>
          <w:color w:val="auto"/>
          <w:lang w:val="zh-CN"/>
        </w:rPr>
        <w:t>录</w:t>
      </w:r>
    </w:p>
    <w:p>
      <w:pPr>
        <w:pStyle w:val="17"/>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TOC \o "1-2" \h \z \u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_Toc18377 </w:instrText>
      </w:r>
      <w:r>
        <w:rPr>
          <w:rFonts w:hint="eastAsia" w:cs="宋体" w:asciiTheme="minorEastAsia" w:hAnsiTheme="minorEastAsia" w:eastAsiaTheme="minorEastAsia"/>
          <w:color w:val="auto"/>
        </w:rPr>
        <w:fldChar w:fldCharType="separate"/>
      </w:r>
      <w:r>
        <w:rPr>
          <w:rFonts w:hint="eastAsia" w:asciiTheme="minorEastAsia" w:hAnsiTheme="minorEastAsia" w:eastAsiaTheme="minorEastAsia"/>
          <w:color w:val="auto"/>
          <w:szCs w:val="28"/>
        </w:rPr>
        <w:t>招标公告</w:t>
      </w:r>
      <w:r>
        <w:rPr>
          <w:color w:val="auto"/>
        </w:rPr>
        <w:tab/>
      </w:r>
      <w:r>
        <w:rPr>
          <w:color w:val="auto"/>
        </w:rPr>
        <w:fldChar w:fldCharType="begin"/>
      </w:r>
      <w:r>
        <w:rPr>
          <w:color w:val="auto"/>
        </w:rPr>
        <w:instrText xml:space="preserve"> PAGEREF _Toc18377 </w:instrText>
      </w:r>
      <w:r>
        <w:rPr>
          <w:color w:val="auto"/>
        </w:rPr>
        <w:fldChar w:fldCharType="separate"/>
      </w:r>
      <w:r>
        <w:rPr>
          <w:color w:val="auto"/>
        </w:rPr>
        <w:t>1</w:t>
      </w:r>
      <w:r>
        <w:rPr>
          <w:color w:val="auto"/>
        </w:rP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_Toc22910 </w:instrText>
      </w:r>
      <w:r>
        <w:rPr>
          <w:rFonts w:hint="eastAsia" w:cs="宋体" w:asciiTheme="minorEastAsia" w:hAnsiTheme="minorEastAsia" w:eastAsiaTheme="minorEastAsia"/>
          <w:color w:val="auto"/>
        </w:rPr>
        <w:fldChar w:fldCharType="separate"/>
      </w:r>
      <w:r>
        <w:rPr>
          <w:rFonts w:hint="eastAsia" w:asciiTheme="minorEastAsia" w:hAnsiTheme="minorEastAsia" w:eastAsiaTheme="minorEastAsia"/>
          <w:color w:val="auto"/>
          <w:szCs w:val="32"/>
        </w:rPr>
        <w:t>第一章 投标人须知</w:t>
      </w:r>
      <w:r>
        <w:rPr>
          <w:color w:val="auto"/>
        </w:rPr>
        <w:tab/>
      </w:r>
      <w:r>
        <w:rPr>
          <w:color w:val="auto"/>
        </w:rPr>
        <w:fldChar w:fldCharType="begin"/>
      </w:r>
      <w:r>
        <w:rPr>
          <w:color w:val="auto"/>
        </w:rPr>
        <w:instrText xml:space="preserve"> PAGEREF _Toc22910 </w:instrText>
      </w:r>
      <w:r>
        <w:rPr>
          <w:color w:val="auto"/>
        </w:rPr>
        <w:fldChar w:fldCharType="separate"/>
      </w:r>
      <w:r>
        <w:rPr>
          <w:color w:val="auto"/>
        </w:rPr>
        <w:t>4</w:t>
      </w:r>
      <w:r>
        <w:rPr>
          <w:color w:val="auto"/>
        </w:rP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_Toc1826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投标人须知前附表</w:t>
      </w:r>
      <w:r>
        <w:rPr>
          <w:color w:val="auto"/>
        </w:rPr>
        <w:tab/>
      </w:r>
      <w:r>
        <w:rPr>
          <w:color w:val="auto"/>
        </w:rPr>
        <w:fldChar w:fldCharType="begin"/>
      </w:r>
      <w:r>
        <w:rPr>
          <w:color w:val="auto"/>
        </w:rPr>
        <w:instrText xml:space="preserve"> PAGEREF _Toc1826 </w:instrText>
      </w:r>
      <w:r>
        <w:rPr>
          <w:color w:val="auto"/>
        </w:rPr>
        <w:fldChar w:fldCharType="separate"/>
      </w:r>
      <w:r>
        <w:rPr>
          <w:color w:val="auto"/>
        </w:rPr>
        <w:t>4</w:t>
      </w:r>
      <w:r>
        <w:rPr>
          <w:color w:val="auto"/>
        </w:rP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ind w:firstLine="420" w:firstLineChars="200"/>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_Toc20023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1采购说明</w:t>
      </w:r>
      <w:r>
        <w:rPr>
          <w:color w:val="auto"/>
        </w:rPr>
        <w:tab/>
      </w:r>
      <w:r>
        <w:rPr>
          <w:color w:val="auto"/>
        </w:rPr>
        <w:fldChar w:fldCharType="begin"/>
      </w:r>
      <w:r>
        <w:rPr>
          <w:color w:val="auto"/>
        </w:rPr>
        <w:instrText xml:space="preserve"> PAGEREF _Toc20023 </w:instrText>
      </w:r>
      <w:r>
        <w:rPr>
          <w:color w:val="auto"/>
        </w:rPr>
        <w:fldChar w:fldCharType="separate"/>
      </w:r>
      <w:r>
        <w:rPr>
          <w:color w:val="auto"/>
        </w:rPr>
        <w:t>8</w:t>
      </w:r>
      <w:r>
        <w:rPr>
          <w:color w:val="auto"/>
        </w:rP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_Toc13672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2招标文件</w:t>
      </w:r>
      <w:r>
        <w:rPr>
          <w:color w:val="auto"/>
        </w:rPr>
        <w:tab/>
      </w:r>
      <w:r>
        <w:rPr>
          <w:color w:val="auto"/>
        </w:rPr>
        <w:fldChar w:fldCharType="begin"/>
      </w:r>
      <w:r>
        <w:rPr>
          <w:color w:val="auto"/>
        </w:rPr>
        <w:instrText xml:space="preserve"> PAGEREF _Toc13672 </w:instrText>
      </w:r>
      <w:r>
        <w:rPr>
          <w:color w:val="auto"/>
        </w:rPr>
        <w:fldChar w:fldCharType="separate"/>
      </w:r>
      <w:r>
        <w:rPr>
          <w:color w:val="auto"/>
        </w:rPr>
        <w:t>8</w:t>
      </w:r>
      <w:r>
        <w:rPr>
          <w:color w:val="auto"/>
        </w:rP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_Toc1336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3投标文件</w:t>
      </w:r>
      <w:r>
        <w:rPr>
          <w:color w:val="auto"/>
        </w:rPr>
        <w:tab/>
      </w:r>
      <w:r>
        <w:rPr>
          <w:color w:val="auto"/>
        </w:rPr>
        <w:fldChar w:fldCharType="begin"/>
      </w:r>
      <w:r>
        <w:rPr>
          <w:color w:val="auto"/>
        </w:rPr>
        <w:instrText xml:space="preserve"> PAGEREF _Toc1336 </w:instrText>
      </w:r>
      <w:r>
        <w:rPr>
          <w:color w:val="auto"/>
        </w:rPr>
        <w:fldChar w:fldCharType="separate"/>
      </w:r>
      <w:r>
        <w:rPr>
          <w:color w:val="auto"/>
        </w:rPr>
        <w:t>9</w:t>
      </w:r>
      <w:r>
        <w:rPr>
          <w:color w:val="auto"/>
        </w:rP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_Toc5519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4投标文件的提交</w:t>
      </w:r>
      <w:r>
        <w:rPr>
          <w:color w:val="auto"/>
        </w:rPr>
        <w:tab/>
      </w:r>
      <w:r>
        <w:rPr>
          <w:color w:val="auto"/>
        </w:rPr>
        <w:fldChar w:fldCharType="begin"/>
      </w:r>
      <w:r>
        <w:rPr>
          <w:color w:val="auto"/>
        </w:rPr>
        <w:instrText xml:space="preserve"> PAGEREF _Toc5519 </w:instrText>
      </w:r>
      <w:r>
        <w:rPr>
          <w:color w:val="auto"/>
        </w:rPr>
        <w:fldChar w:fldCharType="separate"/>
      </w:r>
      <w:r>
        <w:rPr>
          <w:color w:val="auto"/>
        </w:rPr>
        <w:t>10</w:t>
      </w:r>
      <w:r>
        <w:rPr>
          <w:color w:val="auto"/>
        </w:rP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_Toc30055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5开标、评标及定标</w:t>
      </w:r>
      <w:r>
        <w:rPr>
          <w:color w:val="auto"/>
        </w:rPr>
        <w:tab/>
      </w:r>
      <w:r>
        <w:rPr>
          <w:color w:val="auto"/>
        </w:rPr>
        <w:fldChar w:fldCharType="begin"/>
      </w:r>
      <w:r>
        <w:rPr>
          <w:color w:val="auto"/>
        </w:rPr>
        <w:instrText xml:space="preserve"> PAGEREF _Toc30055 </w:instrText>
      </w:r>
      <w:r>
        <w:rPr>
          <w:color w:val="auto"/>
        </w:rPr>
        <w:fldChar w:fldCharType="separate"/>
      </w:r>
      <w:r>
        <w:rPr>
          <w:color w:val="auto"/>
        </w:rPr>
        <w:t>11</w:t>
      </w:r>
      <w:r>
        <w:rPr>
          <w:color w:val="auto"/>
        </w:rP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_Toc12983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6其他</w:t>
      </w:r>
      <w:r>
        <w:rPr>
          <w:color w:val="auto"/>
        </w:rPr>
        <w:tab/>
      </w:r>
      <w:r>
        <w:rPr>
          <w:color w:val="auto"/>
        </w:rPr>
        <w:fldChar w:fldCharType="begin"/>
      </w:r>
      <w:r>
        <w:rPr>
          <w:color w:val="auto"/>
        </w:rPr>
        <w:instrText xml:space="preserve"> PAGEREF _Toc12983 </w:instrText>
      </w:r>
      <w:r>
        <w:rPr>
          <w:color w:val="auto"/>
        </w:rPr>
        <w:fldChar w:fldCharType="separate"/>
      </w:r>
      <w:r>
        <w:rPr>
          <w:color w:val="auto"/>
        </w:rPr>
        <w:t>14</w:t>
      </w:r>
      <w:r>
        <w:rPr>
          <w:color w:val="auto"/>
        </w:rP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_Toc30189 </w:instrText>
      </w:r>
      <w:r>
        <w:rPr>
          <w:rFonts w:hint="eastAsia" w:cs="宋体" w:asciiTheme="minorEastAsia" w:hAnsiTheme="minorEastAsia" w:eastAsiaTheme="minorEastAsia"/>
          <w:color w:val="auto"/>
        </w:rPr>
        <w:fldChar w:fldCharType="separate"/>
      </w:r>
      <w:r>
        <w:rPr>
          <w:rFonts w:hint="eastAsia" w:asciiTheme="minorEastAsia" w:hAnsiTheme="minorEastAsia" w:eastAsiaTheme="minorEastAsia"/>
          <w:color w:val="auto"/>
          <w:szCs w:val="32"/>
        </w:rPr>
        <w:t>第二章 采购项目技术规范和服务要求</w:t>
      </w:r>
      <w:r>
        <w:rPr>
          <w:color w:val="auto"/>
        </w:rPr>
        <w:tab/>
      </w:r>
      <w:r>
        <w:rPr>
          <w:color w:val="auto"/>
        </w:rPr>
        <w:fldChar w:fldCharType="begin"/>
      </w:r>
      <w:r>
        <w:rPr>
          <w:color w:val="auto"/>
        </w:rPr>
        <w:instrText xml:space="preserve"> PAGEREF _Toc30189 </w:instrText>
      </w:r>
      <w:r>
        <w:rPr>
          <w:color w:val="auto"/>
        </w:rPr>
        <w:fldChar w:fldCharType="separate"/>
      </w:r>
      <w:r>
        <w:rPr>
          <w:color w:val="auto"/>
        </w:rPr>
        <w:t>16</w:t>
      </w:r>
      <w:r>
        <w:rPr>
          <w:color w:val="auto"/>
        </w:rP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_Toc17867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1项目背景和介绍</w:t>
      </w:r>
      <w:r>
        <w:rPr>
          <w:color w:val="auto"/>
        </w:rPr>
        <w:tab/>
      </w:r>
      <w:r>
        <w:rPr>
          <w:color w:val="auto"/>
        </w:rPr>
        <w:fldChar w:fldCharType="begin"/>
      </w:r>
      <w:r>
        <w:rPr>
          <w:color w:val="auto"/>
        </w:rPr>
        <w:instrText xml:space="preserve"> PAGEREF _Toc17867 </w:instrText>
      </w:r>
      <w:r>
        <w:rPr>
          <w:color w:val="auto"/>
        </w:rPr>
        <w:fldChar w:fldCharType="separate"/>
      </w:r>
      <w:r>
        <w:rPr>
          <w:color w:val="auto"/>
        </w:rPr>
        <w:t>16</w:t>
      </w:r>
      <w:r>
        <w:rPr>
          <w:color w:val="auto"/>
        </w:rP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_Toc10470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技术规范和服务要求</w:t>
      </w:r>
      <w:r>
        <w:rPr>
          <w:color w:val="auto"/>
        </w:rPr>
        <w:tab/>
      </w:r>
      <w:r>
        <w:rPr>
          <w:color w:val="auto"/>
        </w:rPr>
        <w:fldChar w:fldCharType="begin"/>
      </w:r>
      <w:r>
        <w:rPr>
          <w:color w:val="auto"/>
        </w:rPr>
        <w:instrText xml:space="preserve"> PAGEREF _Toc10470 </w:instrText>
      </w:r>
      <w:r>
        <w:rPr>
          <w:color w:val="auto"/>
        </w:rPr>
        <w:fldChar w:fldCharType="separate"/>
      </w:r>
      <w:r>
        <w:rPr>
          <w:color w:val="auto"/>
        </w:rPr>
        <w:t>16</w:t>
      </w:r>
      <w:r>
        <w:rPr>
          <w:color w:val="auto"/>
        </w:rP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_Toc27106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本项目核心产品</w:t>
      </w:r>
      <w:r>
        <w:rPr>
          <w:color w:val="auto"/>
        </w:rPr>
        <w:tab/>
      </w:r>
      <w:r>
        <w:rPr>
          <w:color w:val="auto"/>
        </w:rPr>
        <w:fldChar w:fldCharType="begin"/>
      </w:r>
      <w:r>
        <w:rPr>
          <w:color w:val="auto"/>
        </w:rPr>
        <w:instrText xml:space="preserve"> PAGEREF _Toc27106 </w:instrText>
      </w:r>
      <w:r>
        <w:rPr>
          <w:color w:val="auto"/>
        </w:rPr>
        <w:fldChar w:fldCharType="separate"/>
      </w:r>
      <w:r>
        <w:rPr>
          <w:color w:val="auto"/>
        </w:rPr>
        <w:t>34</w:t>
      </w:r>
      <w:r>
        <w:rPr>
          <w:color w:val="auto"/>
        </w:rP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_Toc179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强制采购</w:t>
      </w:r>
      <w:r>
        <w:rPr>
          <w:color w:val="auto"/>
        </w:rPr>
        <w:tab/>
      </w:r>
      <w:r>
        <w:rPr>
          <w:color w:val="auto"/>
        </w:rPr>
        <w:fldChar w:fldCharType="begin"/>
      </w:r>
      <w:r>
        <w:rPr>
          <w:color w:val="auto"/>
        </w:rPr>
        <w:instrText xml:space="preserve"> PAGEREF _Toc179 </w:instrText>
      </w:r>
      <w:r>
        <w:rPr>
          <w:color w:val="auto"/>
        </w:rPr>
        <w:fldChar w:fldCharType="separate"/>
      </w:r>
      <w:r>
        <w:rPr>
          <w:color w:val="auto"/>
        </w:rPr>
        <w:t>27</w:t>
      </w:r>
      <w:r>
        <w:rPr>
          <w:color w:val="auto"/>
        </w:rP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_Toc9441 </w:instrText>
      </w:r>
      <w:r>
        <w:rPr>
          <w:rFonts w:hint="eastAsia" w:cs="宋体" w:asciiTheme="minorEastAsia" w:hAnsiTheme="minorEastAsia" w:eastAsiaTheme="minorEastAsia"/>
          <w:color w:val="auto"/>
        </w:rPr>
        <w:fldChar w:fldCharType="separate"/>
      </w:r>
      <w:r>
        <w:rPr>
          <w:rFonts w:hint="eastAsia" w:asciiTheme="minorEastAsia" w:hAnsiTheme="minorEastAsia" w:eastAsiaTheme="minorEastAsia"/>
          <w:color w:val="auto"/>
          <w:szCs w:val="32"/>
        </w:rPr>
        <w:t>第三章 采购项目商务要求</w:t>
      </w:r>
      <w:r>
        <w:rPr>
          <w:color w:val="auto"/>
        </w:rPr>
        <w:tab/>
      </w:r>
      <w:r>
        <w:rPr>
          <w:color w:val="auto"/>
        </w:rPr>
        <w:fldChar w:fldCharType="begin"/>
      </w:r>
      <w:r>
        <w:rPr>
          <w:color w:val="auto"/>
        </w:rPr>
        <w:instrText xml:space="preserve"> PAGEREF _Toc9441 </w:instrText>
      </w:r>
      <w:r>
        <w:rPr>
          <w:color w:val="auto"/>
        </w:rPr>
        <w:fldChar w:fldCharType="separate"/>
      </w:r>
      <w:r>
        <w:rPr>
          <w:color w:val="auto"/>
        </w:rPr>
        <w:t>40</w:t>
      </w:r>
      <w:r>
        <w:rPr>
          <w:color w:val="auto"/>
        </w:rP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_Toc23714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rPr>
        <w:t>1交货期</w:t>
      </w:r>
      <w:r>
        <w:rPr>
          <w:color w:val="auto"/>
        </w:rPr>
        <w:tab/>
      </w:r>
      <w:r>
        <w:rPr>
          <w:color w:val="auto"/>
        </w:rPr>
        <w:fldChar w:fldCharType="begin"/>
      </w:r>
      <w:r>
        <w:rPr>
          <w:color w:val="auto"/>
        </w:rPr>
        <w:instrText xml:space="preserve"> PAGEREF _Toc23714 </w:instrText>
      </w:r>
      <w:r>
        <w:rPr>
          <w:color w:val="auto"/>
        </w:rPr>
        <w:fldChar w:fldCharType="separate"/>
      </w:r>
      <w:r>
        <w:rPr>
          <w:color w:val="auto"/>
        </w:rPr>
        <w:t>40</w:t>
      </w:r>
      <w:r>
        <w:rPr>
          <w:color w:val="auto"/>
        </w:rP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_Toc28144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rPr>
        <w:t>2交货地址</w:t>
      </w:r>
      <w:r>
        <w:rPr>
          <w:color w:val="auto"/>
        </w:rPr>
        <w:tab/>
      </w:r>
      <w:r>
        <w:rPr>
          <w:color w:val="auto"/>
        </w:rPr>
        <w:fldChar w:fldCharType="begin"/>
      </w:r>
      <w:r>
        <w:rPr>
          <w:color w:val="auto"/>
        </w:rPr>
        <w:instrText xml:space="preserve"> PAGEREF _Toc28144 </w:instrText>
      </w:r>
      <w:r>
        <w:rPr>
          <w:color w:val="auto"/>
        </w:rPr>
        <w:fldChar w:fldCharType="separate"/>
      </w:r>
      <w:r>
        <w:rPr>
          <w:color w:val="auto"/>
        </w:rPr>
        <w:t>40</w:t>
      </w:r>
      <w:r>
        <w:rPr>
          <w:color w:val="auto"/>
        </w:rP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_Toc24581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rPr>
        <w:t>3保存和运输要求</w:t>
      </w:r>
      <w:r>
        <w:rPr>
          <w:color w:val="auto"/>
        </w:rPr>
        <w:tab/>
      </w:r>
      <w:r>
        <w:rPr>
          <w:color w:val="auto"/>
        </w:rPr>
        <w:fldChar w:fldCharType="begin"/>
      </w:r>
      <w:r>
        <w:rPr>
          <w:color w:val="auto"/>
        </w:rPr>
        <w:instrText xml:space="preserve"> PAGEREF _Toc24581 </w:instrText>
      </w:r>
      <w:r>
        <w:rPr>
          <w:color w:val="auto"/>
        </w:rPr>
        <w:fldChar w:fldCharType="separate"/>
      </w:r>
      <w:r>
        <w:rPr>
          <w:color w:val="auto"/>
        </w:rPr>
        <w:t>40</w:t>
      </w:r>
      <w:r>
        <w:rPr>
          <w:color w:val="auto"/>
        </w:rP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_Toc26807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rPr>
        <w:t>4安装和调试</w:t>
      </w:r>
      <w:r>
        <w:rPr>
          <w:color w:val="auto"/>
        </w:rPr>
        <w:tab/>
      </w:r>
      <w:r>
        <w:rPr>
          <w:color w:val="auto"/>
        </w:rPr>
        <w:fldChar w:fldCharType="begin"/>
      </w:r>
      <w:r>
        <w:rPr>
          <w:color w:val="auto"/>
        </w:rPr>
        <w:instrText xml:space="preserve"> PAGEREF _Toc26807 </w:instrText>
      </w:r>
      <w:r>
        <w:rPr>
          <w:color w:val="auto"/>
        </w:rPr>
        <w:fldChar w:fldCharType="separate"/>
      </w:r>
      <w:r>
        <w:rPr>
          <w:color w:val="auto"/>
        </w:rPr>
        <w:t>40</w:t>
      </w:r>
      <w:r>
        <w:rPr>
          <w:color w:val="auto"/>
        </w:rP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_Toc32508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rPr>
        <w:t>5验收标准</w:t>
      </w:r>
      <w:r>
        <w:rPr>
          <w:color w:val="auto"/>
        </w:rPr>
        <w:tab/>
      </w:r>
      <w:r>
        <w:rPr>
          <w:color w:val="auto"/>
        </w:rPr>
        <w:fldChar w:fldCharType="begin"/>
      </w:r>
      <w:r>
        <w:rPr>
          <w:color w:val="auto"/>
        </w:rPr>
        <w:instrText xml:space="preserve"> PAGEREF _Toc32508 </w:instrText>
      </w:r>
      <w:r>
        <w:rPr>
          <w:color w:val="auto"/>
        </w:rPr>
        <w:fldChar w:fldCharType="separate"/>
      </w:r>
      <w:r>
        <w:rPr>
          <w:color w:val="auto"/>
        </w:rPr>
        <w:t>40</w:t>
      </w:r>
      <w:r>
        <w:rPr>
          <w:color w:val="auto"/>
        </w:rP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_Toc908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rPr>
        <w:t>6质保期</w:t>
      </w:r>
      <w:r>
        <w:rPr>
          <w:color w:val="auto"/>
        </w:rPr>
        <w:tab/>
      </w:r>
      <w:r>
        <w:rPr>
          <w:color w:val="auto"/>
        </w:rPr>
        <w:fldChar w:fldCharType="begin"/>
      </w:r>
      <w:r>
        <w:rPr>
          <w:color w:val="auto"/>
        </w:rPr>
        <w:instrText xml:space="preserve"> PAGEREF _Toc908 </w:instrText>
      </w:r>
      <w:r>
        <w:rPr>
          <w:color w:val="auto"/>
        </w:rPr>
        <w:fldChar w:fldCharType="separate"/>
      </w:r>
      <w:r>
        <w:rPr>
          <w:color w:val="auto"/>
        </w:rPr>
        <w:t>40</w:t>
      </w:r>
      <w:r>
        <w:rPr>
          <w:color w:val="auto"/>
        </w:rP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_Toc22130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rPr>
        <w:t>7履约保证金</w:t>
      </w:r>
      <w:r>
        <w:rPr>
          <w:color w:val="auto"/>
        </w:rPr>
        <w:tab/>
      </w:r>
      <w:r>
        <w:rPr>
          <w:color w:val="auto"/>
        </w:rPr>
        <w:fldChar w:fldCharType="begin"/>
      </w:r>
      <w:r>
        <w:rPr>
          <w:color w:val="auto"/>
        </w:rPr>
        <w:instrText xml:space="preserve"> PAGEREF _Toc22130 </w:instrText>
      </w:r>
      <w:r>
        <w:rPr>
          <w:color w:val="auto"/>
        </w:rPr>
        <w:fldChar w:fldCharType="separate"/>
      </w:r>
      <w:r>
        <w:rPr>
          <w:color w:val="auto"/>
        </w:rPr>
        <w:t>40</w:t>
      </w:r>
      <w:r>
        <w:rPr>
          <w:color w:val="auto"/>
        </w:rP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_Toc20766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rPr>
        <w:t>8付款方式</w:t>
      </w:r>
      <w:r>
        <w:rPr>
          <w:color w:val="auto"/>
        </w:rPr>
        <w:tab/>
      </w:r>
      <w:r>
        <w:rPr>
          <w:color w:val="auto"/>
        </w:rPr>
        <w:fldChar w:fldCharType="begin"/>
      </w:r>
      <w:r>
        <w:rPr>
          <w:color w:val="auto"/>
        </w:rPr>
        <w:instrText xml:space="preserve"> PAGEREF _Toc20766 </w:instrText>
      </w:r>
      <w:r>
        <w:rPr>
          <w:color w:val="auto"/>
        </w:rPr>
        <w:fldChar w:fldCharType="separate"/>
      </w:r>
      <w:r>
        <w:rPr>
          <w:color w:val="auto"/>
        </w:rPr>
        <w:t>40</w:t>
      </w:r>
      <w:r>
        <w:rPr>
          <w:color w:val="auto"/>
        </w:rP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_Toc26633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rPr>
        <w:t>9售后服务</w:t>
      </w:r>
      <w:r>
        <w:rPr>
          <w:color w:val="auto"/>
        </w:rPr>
        <w:tab/>
      </w:r>
      <w:r>
        <w:rPr>
          <w:color w:val="auto"/>
        </w:rPr>
        <w:fldChar w:fldCharType="begin"/>
      </w:r>
      <w:r>
        <w:rPr>
          <w:color w:val="auto"/>
        </w:rPr>
        <w:instrText xml:space="preserve"> PAGEREF _Toc26633 </w:instrText>
      </w:r>
      <w:r>
        <w:rPr>
          <w:color w:val="auto"/>
        </w:rPr>
        <w:fldChar w:fldCharType="separate"/>
      </w:r>
      <w:r>
        <w:rPr>
          <w:color w:val="auto"/>
        </w:rPr>
        <w:t>40</w:t>
      </w:r>
      <w:r>
        <w:rPr>
          <w:color w:val="auto"/>
        </w:rP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_Toc27026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rPr>
        <w:t>10合同履行</w:t>
      </w:r>
      <w:r>
        <w:rPr>
          <w:color w:val="auto"/>
        </w:rPr>
        <w:tab/>
      </w:r>
      <w:r>
        <w:rPr>
          <w:color w:val="auto"/>
        </w:rPr>
        <w:fldChar w:fldCharType="begin"/>
      </w:r>
      <w:r>
        <w:rPr>
          <w:color w:val="auto"/>
        </w:rPr>
        <w:instrText xml:space="preserve"> PAGEREF _Toc27026 </w:instrText>
      </w:r>
      <w:r>
        <w:rPr>
          <w:color w:val="auto"/>
        </w:rPr>
        <w:fldChar w:fldCharType="separate"/>
      </w:r>
      <w:r>
        <w:rPr>
          <w:color w:val="auto"/>
        </w:rPr>
        <w:t>40</w:t>
      </w:r>
      <w:r>
        <w:rPr>
          <w:color w:val="auto"/>
        </w:rP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_Toc26892 </w:instrText>
      </w:r>
      <w:r>
        <w:rPr>
          <w:rFonts w:hint="eastAsia" w:cs="宋体" w:asciiTheme="minorEastAsia" w:hAnsiTheme="minorEastAsia" w:eastAsiaTheme="minorEastAsia"/>
          <w:color w:val="auto"/>
        </w:rPr>
        <w:fldChar w:fldCharType="separate"/>
      </w:r>
      <w:r>
        <w:rPr>
          <w:rFonts w:hint="eastAsia" w:asciiTheme="minorEastAsia" w:hAnsiTheme="minorEastAsia" w:eastAsiaTheme="minorEastAsia"/>
          <w:color w:val="auto"/>
          <w:szCs w:val="32"/>
        </w:rPr>
        <w:t>第四章 合同格式</w:t>
      </w:r>
      <w:r>
        <w:rPr>
          <w:color w:val="auto"/>
        </w:rPr>
        <w:tab/>
      </w:r>
      <w:r>
        <w:rPr>
          <w:color w:val="auto"/>
        </w:rPr>
        <w:fldChar w:fldCharType="begin"/>
      </w:r>
      <w:r>
        <w:rPr>
          <w:color w:val="auto"/>
        </w:rPr>
        <w:instrText xml:space="preserve"> PAGEREF _Toc26892 </w:instrText>
      </w:r>
      <w:r>
        <w:rPr>
          <w:color w:val="auto"/>
        </w:rPr>
        <w:fldChar w:fldCharType="separate"/>
      </w:r>
      <w:r>
        <w:rPr>
          <w:color w:val="auto"/>
        </w:rPr>
        <w:t>41</w:t>
      </w:r>
      <w:r>
        <w:rPr>
          <w:color w:val="auto"/>
        </w:rP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_Toc6543 </w:instrText>
      </w:r>
      <w:r>
        <w:rPr>
          <w:rFonts w:hint="eastAsia" w:cs="宋体" w:asciiTheme="minorEastAsia" w:hAnsiTheme="minorEastAsia" w:eastAsiaTheme="minorEastAsia"/>
          <w:color w:val="auto"/>
        </w:rPr>
        <w:fldChar w:fldCharType="separate"/>
      </w:r>
      <w:r>
        <w:rPr>
          <w:rFonts w:hint="eastAsia"/>
          <w:color w:val="auto"/>
        </w:rPr>
        <w:t>浙江省政府采购合同指引</w:t>
      </w:r>
      <w:r>
        <w:rPr>
          <w:color w:val="auto"/>
        </w:rPr>
        <w:tab/>
      </w:r>
      <w:r>
        <w:rPr>
          <w:color w:val="auto"/>
        </w:rPr>
        <w:fldChar w:fldCharType="begin"/>
      </w:r>
      <w:r>
        <w:rPr>
          <w:color w:val="auto"/>
        </w:rPr>
        <w:instrText xml:space="preserve"> PAGEREF _Toc6543 </w:instrText>
      </w:r>
      <w:r>
        <w:rPr>
          <w:color w:val="auto"/>
        </w:rPr>
        <w:fldChar w:fldCharType="separate"/>
      </w:r>
      <w:r>
        <w:rPr>
          <w:color w:val="auto"/>
        </w:rPr>
        <w:t>41</w:t>
      </w:r>
      <w:r>
        <w:rPr>
          <w:color w:val="auto"/>
        </w:rP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_Toc2467 </w:instrText>
      </w:r>
      <w:r>
        <w:rPr>
          <w:rFonts w:hint="eastAsia" w:cs="宋体" w:asciiTheme="minorEastAsia" w:hAnsiTheme="minorEastAsia" w:eastAsiaTheme="minorEastAsia"/>
          <w:color w:val="auto"/>
        </w:rPr>
        <w:fldChar w:fldCharType="separate"/>
      </w:r>
      <w:r>
        <w:rPr>
          <w:rFonts w:hint="eastAsia" w:asciiTheme="minorEastAsia" w:hAnsiTheme="minorEastAsia" w:eastAsiaTheme="minorEastAsia"/>
          <w:color w:val="auto"/>
          <w:szCs w:val="32"/>
        </w:rPr>
        <w:t>第五章 投标文件内容及格式</w:t>
      </w:r>
      <w:r>
        <w:rPr>
          <w:color w:val="auto"/>
        </w:rPr>
        <w:tab/>
      </w:r>
      <w:r>
        <w:rPr>
          <w:color w:val="auto"/>
        </w:rPr>
        <w:fldChar w:fldCharType="begin"/>
      </w:r>
      <w:r>
        <w:rPr>
          <w:color w:val="auto"/>
        </w:rPr>
        <w:instrText xml:space="preserve"> PAGEREF _Toc2467 </w:instrText>
      </w:r>
      <w:r>
        <w:rPr>
          <w:color w:val="auto"/>
        </w:rPr>
        <w:fldChar w:fldCharType="separate"/>
      </w:r>
      <w:r>
        <w:rPr>
          <w:color w:val="auto"/>
        </w:rPr>
        <w:t>46</w:t>
      </w:r>
      <w:r>
        <w:rPr>
          <w:color w:val="auto"/>
        </w:rP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_Toc18750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1投标人提交投标文件须知</w:t>
      </w:r>
      <w:r>
        <w:rPr>
          <w:color w:val="auto"/>
        </w:rPr>
        <w:tab/>
      </w:r>
      <w:r>
        <w:rPr>
          <w:color w:val="auto"/>
        </w:rPr>
        <w:fldChar w:fldCharType="begin"/>
      </w:r>
      <w:r>
        <w:rPr>
          <w:color w:val="auto"/>
        </w:rPr>
        <w:instrText xml:space="preserve"> PAGEREF _Toc18750 </w:instrText>
      </w:r>
      <w:r>
        <w:rPr>
          <w:color w:val="auto"/>
        </w:rPr>
        <w:fldChar w:fldCharType="separate"/>
      </w:r>
      <w:r>
        <w:rPr>
          <w:color w:val="auto"/>
        </w:rPr>
        <w:t>46</w:t>
      </w:r>
      <w:r>
        <w:rPr>
          <w:color w:val="auto"/>
        </w:rP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_Toc23766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2投标文件组成</w:t>
      </w:r>
      <w:r>
        <w:rPr>
          <w:color w:val="auto"/>
        </w:rPr>
        <w:tab/>
      </w:r>
      <w:r>
        <w:rPr>
          <w:color w:val="auto"/>
        </w:rPr>
        <w:fldChar w:fldCharType="begin"/>
      </w:r>
      <w:r>
        <w:rPr>
          <w:color w:val="auto"/>
        </w:rPr>
        <w:instrText xml:space="preserve"> PAGEREF _Toc23766 </w:instrText>
      </w:r>
      <w:r>
        <w:rPr>
          <w:color w:val="auto"/>
        </w:rPr>
        <w:fldChar w:fldCharType="separate"/>
      </w:r>
      <w:r>
        <w:rPr>
          <w:color w:val="auto"/>
        </w:rPr>
        <w:t>46</w:t>
      </w:r>
      <w:r>
        <w:rPr>
          <w:color w:val="auto"/>
        </w:rP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_Toc25860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3投标文件编制格式及规范要求</w:t>
      </w:r>
      <w:r>
        <w:rPr>
          <w:color w:val="auto"/>
        </w:rPr>
        <w:tab/>
      </w:r>
      <w:r>
        <w:rPr>
          <w:color w:val="auto"/>
        </w:rPr>
        <w:fldChar w:fldCharType="begin"/>
      </w:r>
      <w:r>
        <w:rPr>
          <w:color w:val="auto"/>
        </w:rPr>
        <w:instrText xml:space="preserve"> PAGEREF _Toc25860 </w:instrText>
      </w:r>
      <w:r>
        <w:rPr>
          <w:color w:val="auto"/>
        </w:rPr>
        <w:fldChar w:fldCharType="separate"/>
      </w:r>
      <w:r>
        <w:rPr>
          <w:color w:val="auto"/>
        </w:rPr>
        <w:t>48</w:t>
      </w:r>
      <w:r>
        <w:rPr>
          <w:color w:val="auto"/>
        </w:rP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_Toc14080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32"/>
        </w:rPr>
        <w:t>第六章 评标办法</w:t>
      </w:r>
      <w:r>
        <w:rPr>
          <w:color w:val="auto"/>
        </w:rPr>
        <w:tab/>
      </w:r>
      <w:r>
        <w:rPr>
          <w:color w:val="auto"/>
        </w:rPr>
        <w:fldChar w:fldCharType="begin"/>
      </w:r>
      <w:r>
        <w:rPr>
          <w:color w:val="auto"/>
        </w:rPr>
        <w:instrText xml:space="preserve"> PAGEREF _Toc14080 </w:instrText>
      </w:r>
      <w:r>
        <w:rPr>
          <w:color w:val="auto"/>
        </w:rPr>
        <w:fldChar w:fldCharType="separate"/>
      </w:r>
      <w:r>
        <w:rPr>
          <w:color w:val="auto"/>
        </w:rPr>
        <w:t>67</w:t>
      </w:r>
      <w:r>
        <w:rPr>
          <w:color w:val="auto"/>
        </w:rP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_Toc22527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1总则</w:t>
      </w:r>
      <w:r>
        <w:rPr>
          <w:color w:val="auto"/>
        </w:rPr>
        <w:tab/>
      </w:r>
      <w:r>
        <w:rPr>
          <w:color w:val="auto"/>
        </w:rPr>
        <w:fldChar w:fldCharType="begin"/>
      </w:r>
      <w:r>
        <w:rPr>
          <w:color w:val="auto"/>
        </w:rPr>
        <w:instrText xml:space="preserve"> PAGEREF _Toc22527 </w:instrText>
      </w:r>
      <w:r>
        <w:rPr>
          <w:color w:val="auto"/>
        </w:rPr>
        <w:fldChar w:fldCharType="separate"/>
      </w:r>
      <w:r>
        <w:rPr>
          <w:color w:val="auto"/>
        </w:rPr>
        <w:t>67</w:t>
      </w:r>
      <w:r>
        <w:rPr>
          <w:color w:val="auto"/>
        </w:rP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_Toc18810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2评标组织</w:t>
      </w:r>
      <w:r>
        <w:rPr>
          <w:color w:val="auto"/>
        </w:rPr>
        <w:tab/>
      </w:r>
      <w:r>
        <w:rPr>
          <w:color w:val="auto"/>
        </w:rPr>
        <w:fldChar w:fldCharType="begin"/>
      </w:r>
      <w:r>
        <w:rPr>
          <w:color w:val="auto"/>
        </w:rPr>
        <w:instrText xml:space="preserve"> PAGEREF _Toc18810 </w:instrText>
      </w:r>
      <w:r>
        <w:rPr>
          <w:color w:val="auto"/>
        </w:rPr>
        <w:fldChar w:fldCharType="separate"/>
      </w:r>
      <w:r>
        <w:rPr>
          <w:color w:val="auto"/>
        </w:rPr>
        <w:t>67</w:t>
      </w:r>
      <w:r>
        <w:rPr>
          <w:color w:val="auto"/>
        </w:rP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_Toc31767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3评标程序和内容</w:t>
      </w:r>
      <w:r>
        <w:rPr>
          <w:color w:val="auto"/>
        </w:rPr>
        <w:tab/>
      </w:r>
      <w:r>
        <w:rPr>
          <w:color w:val="auto"/>
        </w:rPr>
        <w:fldChar w:fldCharType="begin"/>
      </w:r>
      <w:r>
        <w:rPr>
          <w:color w:val="auto"/>
        </w:rPr>
        <w:instrText xml:space="preserve"> PAGEREF _Toc31767 </w:instrText>
      </w:r>
      <w:r>
        <w:rPr>
          <w:color w:val="auto"/>
        </w:rPr>
        <w:fldChar w:fldCharType="separate"/>
      </w:r>
      <w:r>
        <w:rPr>
          <w:color w:val="auto"/>
        </w:rPr>
        <w:t>67</w:t>
      </w:r>
      <w:r>
        <w:rPr>
          <w:color w:val="auto"/>
        </w:rP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_Toc457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4投标文件的审查</w:t>
      </w:r>
      <w:r>
        <w:rPr>
          <w:color w:val="auto"/>
        </w:rPr>
        <w:tab/>
      </w:r>
      <w:r>
        <w:rPr>
          <w:color w:val="auto"/>
        </w:rPr>
        <w:fldChar w:fldCharType="begin"/>
      </w:r>
      <w:r>
        <w:rPr>
          <w:color w:val="auto"/>
        </w:rPr>
        <w:instrText xml:space="preserve"> PAGEREF _Toc457 </w:instrText>
      </w:r>
      <w:r>
        <w:rPr>
          <w:color w:val="auto"/>
        </w:rPr>
        <w:fldChar w:fldCharType="separate"/>
      </w:r>
      <w:r>
        <w:rPr>
          <w:color w:val="auto"/>
        </w:rPr>
        <w:t>67</w:t>
      </w:r>
      <w:r>
        <w:rPr>
          <w:color w:val="auto"/>
        </w:rP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_Toc16390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5评分细则</w:t>
      </w:r>
      <w:r>
        <w:rPr>
          <w:color w:val="auto"/>
        </w:rPr>
        <w:tab/>
      </w:r>
      <w:r>
        <w:rPr>
          <w:color w:val="auto"/>
        </w:rPr>
        <w:fldChar w:fldCharType="begin"/>
      </w:r>
      <w:r>
        <w:rPr>
          <w:color w:val="auto"/>
        </w:rPr>
        <w:instrText xml:space="preserve"> PAGEREF _Toc16390 </w:instrText>
      </w:r>
      <w:r>
        <w:rPr>
          <w:color w:val="auto"/>
        </w:rPr>
        <w:fldChar w:fldCharType="separate"/>
      </w:r>
      <w:r>
        <w:rPr>
          <w:color w:val="auto"/>
        </w:rPr>
        <w:t>69</w:t>
      </w:r>
      <w:r>
        <w:rPr>
          <w:color w:val="auto"/>
        </w:rP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_Toc24449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6.评标报告</w:t>
      </w:r>
      <w:r>
        <w:rPr>
          <w:color w:val="auto"/>
        </w:rPr>
        <w:tab/>
      </w:r>
      <w:r>
        <w:rPr>
          <w:color w:val="auto"/>
        </w:rPr>
        <w:fldChar w:fldCharType="begin"/>
      </w:r>
      <w:r>
        <w:rPr>
          <w:color w:val="auto"/>
        </w:rPr>
        <w:instrText xml:space="preserve"> PAGEREF _Toc24449 </w:instrText>
      </w:r>
      <w:r>
        <w:rPr>
          <w:color w:val="auto"/>
        </w:rPr>
        <w:fldChar w:fldCharType="separate"/>
      </w:r>
      <w:r>
        <w:rPr>
          <w:color w:val="auto"/>
        </w:rPr>
        <w:t>72</w:t>
      </w:r>
      <w:r>
        <w:rPr>
          <w:color w:val="auto"/>
        </w:rPr>
        <w:fldChar w:fldCharType="end"/>
      </w:r>
      <w:r>
        <w:rPr>
          <w:rFonts w:hint="eastAsia" w:cs="宋体" w:asciiTheme="minorEastAsia" w:hAnsiTheme="minorEastAsia" w:eastAsiaTheme="minorEastAsia"/>
          <w:color w:val="auto"/>
        </w:rPr>
        <w:fldChar w:fldCharType="end"/>
      </w:r>
    </w:p>
    <w:p>
      <w:pPr>
        <w:ind w:firstLine="420"/>
        <w:rPr>
          <w:rFonts w:cs="宋体" w:asciiTheme="minorEastAsia" w:hAnsiTheme="minorEastAsia" w:eastAsiaTheme="minorEastAsia"/>
          <w:b/>
          <w:bCs/>
          <w:color w:val="auto"/>
        </w:rPr>
      </w:pPr>
      <w:r>
        <w:rPr>
          <w:rFonts w:hint="eastAsia" w:cs="宋体" w:asciiTheme="minorEastAsia" w:hAnsiTheme="minorEastAsia" w:eastAsiaTheme="minorEastAsia"/>
          <w:color w:val="auto"/>
        </w:rPr>
        <w:fldChar w:fldCharType="end"/>
      </w:r>
    </w:p>
    <w:p>
      <w:pPr>
        <w:widowControl/>
        <w:shd w:val="clear" w:color="auto" w:fill="FDFAF5"/>
        <w:ind w:firstLine="0" w:firstLineChars="0"/>
        <w:jc w:val="center"/>
        <w:rPr>
          <w:rFonts w:cs="宋体" w:asciiTheme="minorEastAsia" w:hAnsiTheme="minorEastAsia" w:eastAsiaTheme="minorEastAsia"/>
          <w:b/>
          <w:bCs/>
          <w:color w:val="auto"/>
          <w:kern w:val="0"/>
          <w:sz w:val="24"/>
        </w:rPr>
        <w:sectPr>
          <w:headerReference r:id="rId10" w:type="first"/>
          <w:footerReference r:id="rId13" w:type="first"/>
          <w:headerReference r:id="rId9" w:type="default"/>
          <w:footerReference r:id="rId11" w:type="default"/>
          <w:footerReference r:id="rId12" w:type="even"/>
          <w:pgSz w:w="11907" w:h="16840"/>
          <w:pgMar w:top="1247" w:right="1304" w:bottom="1020" w:left="1304" w:header="720" w:footer="720" w:gutter="0"/>
          <w:pgNumType w:start="1"/>
          <w:cols w:space="0" w:num="1"/>
          <w:docGrid w:linePitch="286" w:charSpace="0"/>
        </w:sectPr>
      </w:pPr>
      <w:bookmarkStart w:id="0" w:name="_Toc452457411"/>
    </w:p>
    <w:p>
      <w:pPr>
        <w:widowControl/>
        <w:shd w:val="clear" w:color="auto" w:fill="FDFAF5"/>
        <w:ind w:firstLine="0" w:firstLineChars="0"/>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浙江信镧建设工程咨询有限公司关于</w:t>
      </w:r>
      <w:r>
        <w:rPr>
          <w:rFonts w:hint="eastAsia" w:cs="宋体" w:asciiTheme="minorEastAsia" w:hAnsiTheme="minorEastAsia" w:eastAsiaTheme="minorEastAsia"/>
          <w:b/>
          <w:bCs/>
          <w:color w:val="auto"/>
          <w:kern w:val="0"/>
          <w:sz w:val="24"/>
          <w:lang w:eastAsia="zh-CN"/>
        </w:rPr>
        <w:t>浙江康复医院检验科设备、天轨康复训练系统</w:t>
      </w:r>
      <w:r>
        <w:rPr>
          <w:rFonts w:hint="eastAsia" w:cs="宋体" w:asciiTheme="minorEastAsia" w:hAnsiTheme="minorEastAsia" w:eastAsiaTheme="minorEastAsia"/>
          <w:b/>
          <w:bCs/>
          <w:color w:val="auto"/>
          <w:kern w:val="0"/>
          <w:sz w:val="24"/>
        </w:rPr>
        <w:t>采购的</w:t>
      </w:r>
    </w:p>
    <w:p>
      <w:pPr>
        <w:pStyle w:val="4"/>
        <w:ind w:firstLine="0" w:firstLineChars="0"/>
        <w:rPr>
          <w:rFonts w:asciiTheme="minorEastAsia" w:hAnsiTheme="minorEastAsia" w:eastAsiaTheme="minorEastAsia"/>
          <w:color w:val="auto"/>
          <w:sz w:val="28"/>
          <w:szCs w:val="28"/>
        </w:rPr>
      </w:pPr>
      <w:bookmarkStart w:id="1" w:name="_Toc18377"/>
      <w:r>
        <w:rPr>
          <w:rFonts w:hint="eastAsia" w:asciiTheme="minorEastAsia" w:hAnsiTheme="minorEastAsia" w:eastAsiaTheme="minorEastAsia"/>
          <w:color w:val="auto"/>
          <w:sz w:val="28"/>
          <w:szCs w:val="28"/>
        </w:rPr>
        <w:t>招标公告</w:t>
      </w:r>
      <w:bookmarkEnd w:id="1"/>
    </w:p>
    <w:p>
      <w:pPr>
        <w:ind w:firstLine="420"/>
        <w:rPr>
          <w:rFonts w:cs="宋体" w:asciiTheme="minorEastAsia" w:hAnsiTheme="minorEastAsia" w:eastAsiaTheme="minorEastAsia"/>
          <w:b/>
          <w:color w:val="auto"/>
          <w:szCs w:val="21"/>
        </w:rPr>
      </w:pPr>
      <w:bookmarkStart w:id="2" w:name="B10_招标内容"/>
      <w:bookmarkEnd w:id="2"/>
      <w:r>
        <w:rPr>
          <w:rFonts w:hint="eastAsia" w:cs="宋体" w:asciiTheme="minorEastAsia" w:hAnsiTheme="minorEastAsia" w:eastAsiaTheme="minorEastAsia"/>
          <w:color w:val="auto"/>
          <w:szCs w:val="21"/>
        </w:rPr>
        <w:t>根据《中华人民共和国政府采购法》等有关法律法规的规定，经政府采购管理部门批准，浙江信镧建设工程咨询有限公司受</w:t>
      </w:r>
      <w:r>
        <w:rPr>
          <w:rFonts w:hint="eastAsia" w:cs="宋体" w:asciiTheme="minorEastAsia" w:hAnsiTheme="minorEastAsia" w:eastAsiaTheme="minorEastAsia"/>
          <w:color w:val="auto"/>
          <w:szCs w:val="21"/>
          <w:lang w:eastAsia="zh-CN"/>
        </w:rPr>
        <w:t>浙江康复医院</w:t>
      </w:r>
      <w:r>
        <w:rPr>
          <w:rFonts w:hint="eastAsia" w:cs="宋体" w:asciiTheme="minorEastAsia" w:hAnsiTheme="minorEastAsia" w:eastAsiaTheme="minorEastAsia"/>
          <w:color w:val="auto"/>
          <w:szCs w:val="21"/>
        </w:rPr>
        <w:t>委托，就</w:t>
      </w:r>
      <w:r>
        <w:rPr>
          <w:rFonts w:hint="eastAsia" w:cs="宋体" w:asciiTheme="minorEastAsia" w:hAnsiTheme="minorEastAsia" w:eastAsiaTheme="minorEastAsia"/>
          <w:color w:val="auto"/>
          <w:szCs w:val="21"/>
          <w:lang w:eastAsia="zh-CN"/>
        </w:rPr>
        <w:t>检验科设备、天轨康复训练系统</w:t>
      </w:r>
      <w:r>
        <w:rPr>
          <w:rFonts w:hint="eastAsia" w:cs="宋体" w:asciiTheme="minorEastAsia" w:hAnsiTheme="minorEastAsia" w:eastAsiaTheme="minorEastAsia"/>
          <w:color w:val="auto"/>
          <w:szCs w:val="21"/>
        </w:rPr>
        <w:t>进行公开招标，欢迎国内合格的投标人前来投标。</w:t>
      </w:r>
    </w:p>
    <w:p>
      <w:pPr>
        <w:ind w:firstLine="422"/>
        <w:rPr>
          <w:rFonts w:hint="eastAsia" w:asciiTheme="minorEastAsia" w:hAnsiTheme="minorEastAsia" w:eastAsiaTheme="minorEastAsia"/>
          <w:color w:val="auto"/>
          <w:lang w:eastAsia="zh-CN"/>
        </w:rPr>
      </w:pPr>
      <w:r>
        <w:rPr>
          <w:rFonts w:hint="eastAsia" w:asciiTheme="minorEastAsia" w:hAnsiTheme="minorEastAsia" w:eastAsiaTheme="minorEastAsia"/>
          <w:b/>
          <w:bCs/>
          <w:color w:val="auto"/>
        </w:rPr>
        <w:t>一.采购项目编号</w:t>
      </w:r>
      <w:bookmarkStart w:id="3" w:name="B08_项目编号"/>
      <w:r>
        <w:rPr>
          <w:rFonts w:hint="eastAsia" w:asciiTheme="minorEastAsia" w:hAnsiTheme="minorEastAsia" w:eastAsiaTheme="minorEastAsia"/>
          <w:b/>
          <w:bCs/>
          <w:color w:val="auto"/>
        </w:rPr>
        <w:t>：</w:t>
      </w:r>
      <w:bookmarkEnd w:id="3"/>
      <w:r>
        <w:rPr>
          <w:rFonts w:hint="eastAsia" w:asciiTheme="minorEastAsia" w:hAnsiTheme="minorEastAsia" w:eastAsiaTheme="minorEastAsia"/>
          <w:color w:val="auto"/>
          <w:lang w:eastAsia="zh-CN"/>
        </w:rPr>
        <w:t>ZJXL-MZKF-201902</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二.采购组织类型：</w:t>
      </w:r>
      <w:bookmarkStart w:id="4" w:name="B09_采购组织类型"/>
      <w:r>
        <w:rPr>
          <w:rFonts w:hint="eastAsia" w:asciiTheme="minorEastAsia" w:hAnsiTheme="minorEastAsia" w:eastAsiaTheme="minorEastAsia"/>
          <w:color w:val="auto"/>
        </w:rPr>
        <w:t>分散采购委托代理</w:t>
      </w:r>
      <w:bookmarkEnd w:id="4"/>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三.采购项目概况：</w:t>
      </w:r>
    </w:p>
    <w:tbl>
      <w:tblPr>
        <w:tblStyle w:val="26"/>
        <w:tblW w:w="9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36"/>
        <w:gridCol w:w="851"/>
        <w:gridCol w:w="850"/>
        <w:gridCol w:w="1276"/>
        <w:gridCol w:w="1276"/>
        <w:gridCol w:w="24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序号</w:t>
            </w:r>
          </w:p>
        </w:tc>
        <w:tc>
          <w:tcPr>
            <w:tcW w:w="153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项目名称</w:t>
            </w:r>
          </w:p>
        </w:tc>
        <w:tc>
          <w:tcPr>
            <w:tcW w:w="85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数量</w:t>
            </w:r>
          </w:p>
        </w:tc>
        <w:tc>
          <w:tcPr>
            <w:tcW w:w="850"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单位</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预算金额</w:t>
            </w:r>
          </w:p>
        </w:tc>
        <w:tc>
          <w:tcPr>
            <w:tcW w:w="1276" w:type="dxa"/>
            <w:vAlign w:val="center"/>
          </w:tcPr>
          <w:p>
            <w:pPr>
              <w:ind w:firstLine="0" w:firstLineChars="0"/>
              <w:jc w:val="center"/>
              <w:rPr>
                <w:rFonts w:hint="eastAsia" w:asciiTheme="minorEastAsia" w:hAnsiTheme="minorEastAsia" w:eastAsiaTheme="minorEastAsia"/>
                <w:color w:val="auto"/>
              </w:rPr>
            </w:pPr>
            <w:r>
              <w:rPr>
                <w:rFonts w:hint="eastAsia" w:asciiTheme="minorEastAsia" w:hAnsiTheme="minorEastAsia" w:eastAsiaTheme="minorEastAsia"/>
                <w:color w:val="auto"/>
              </w:rPr>
              <w:t>最高限价</w:t>
            </w:r>
          </w:p>
        </w:tc>
        <w:tc>
          <w:tcPr>
            <w:tcW w:w="2445" w:type="dxa"/>
            <w:vAlign w:val="center"/>
          </w:tcPr>
          <w:p>
            <w:pPr>
              <w:ind w:firstLine="420"/>
              <w:jc w:val="center"/>
              <w:rPr>
                <w:rFonts w:asciiTheme="minorEastAsia" w:hAnsiTheme="minorEastAsia" w:eastAsiaTheme="minorEastAsia"/>
                <w:color w:val="auto"/>
              </w:rPr>
            </w:pPr>
            <w:r>
              <w:rPr>
                <w:rFonts w:hint="eastAsia" w:asciiTheme="minorEastAsia" w:hAnsiTheme="minorEastAsia" w:eastAsiaTheme="minorEastAsia"/>
                <w:color w:val="auto"/>
              </w:rPr>
              <w:t>简要技术要求描述</w:t>
            </w:r>
          </w:p>
        </w:tc>
        <w:tc>
          <w:tcPr>
            <w:tcW w:w="992"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1</w:t>
            </w:r>
          </w:p>
        </w:tc>
        <w:tc>
          <w:tcPr>
            <w:tcW w:w="1536" w:type="dxa"/>
            <w:vAlign w:val="center"/>
          </w:tcPr>
          <w:p>
            <w:pPr>
              <w:ind w:firstLine="0" w:firstLineChars="0"/>
              <w:jc w:val="center"/>
              <w:rPr>
                <w:rFonts w:hint="default" w:asciiTheme="minorEastAsia" w:hAnsiTheme="minorEastAsia" w:eastAsiaTheme="minorEastAsia"/>
                <w:color w:val="auto"/>
                <w:lang w:val="en-US" w:eastAsia="zh-CN"/>
              </w:rPr>
            </w:pPr>
            <w:r>
              <w:rPr>
                <w:rFonts w:hint="eastAsia" w:cs="宋体" w:asciiTheme="minorEastAsia" w:hAnsiTheme="minorEastAsia" w:eastAsiaTheme="minorEastAsia"/>
                <w:color w:val="auto"/>
                <w:szCs w:val="21"/>
                <w:lang w:eastAsia="zh-CN"/>
              </w:rPr>
              <w:t>检验科设备</w:t>
            </w:r>
            <w:r>
              <w:rPr>
                <w:rFonts w:hint="eastAsia" w:cs="宋体" w:asciiTheme="minorEastAsia" w:hAnsiTheme="minorEastAsia" w:eastAsiaTheme="minorEastAsia"/>
                <w:color w:val="auto"/>
                <w:szCs w:val="21"/>
                <w:lang w:val="en-US" w:eastAsia="zh-CN"/>
              </w:rPr>
              <w:t>（进口）</w:t>
            </w:r>
          </w:p>
        </w:tc>
        <w:tc>
          <w:tcPr>
            <w:tcW w:w="851" w:type="dxa"/>
            <w:vAlign w:val="center"/>
          </w:tcPr>
          <w:p>
            <w:pPr>
              <w:ind w:firstLine="0" w:firstLineChars="0"/>
              <w:jc w:val="center"/>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批</w:t>
            </w:r>
          </w:p>
        </w:tc>
        <w:tc>
          <w:tcPr>
            <w:tcW w:w="850" w:type="dxa"/>
            <w:vAlign w:val="center"/>
          </w:tcPr>
          <w:p>
            <w:pPr>
              <w:ind w:firstLine="0" w:firstLineChars="0"/>
              <w:jc w:val="center"/>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1</w:t>
            </w:r>
          </w:p>
        </w:tc>
        <w:tc>
          <w:tcPr>
            <w:tcW w:w="1276" w:type="dxa"/>
            <w:vAlign w:val="center"/>
          </w:tcPr>
          <w:p>
            <w:pPr>
              <w:ind w:left="0" w:leftChars="0" w:firstLine="0" w:firstLineChars="0"/>
              <w:jc w:val="both"/>
              <w:rPr>
                <w:rFonts w:asciiTheme="minorEastAsia" w:hAnsiTheme="minorEastAsia" w:eastAsiaTheme="minorEastAsia"/>
                <w:color w:val="auto"/>
              </w:rPr>
            </w:pPr>
            <w:r>
              <w:rPr>
                <w:rFonts w:hint="eastAsia" w:asciiTheme="minorEastAsia" w:hAnsiTheme="minorEastAsia" w:eastAsiaTheme="minorEastAsia"/>
                <w:color w:val="auto"/>
                <w:lang w:val="en-US" w:eastAsia="zh-CN"/>
              </w:rPr>
              <w:t>500</w:t>
            </w:r>
            <w:r>
              <w:rPr>
                <w:rFonts w:hint="eastAsia" w:asciiTheme="minorEastAsia" w:hAnsiTheme="minorEastAsia" w:eastAsiaTheme="minorEastAsia"/>
                <w:color w:val="auto"/>
              </w:rPr>
              <w:t>(万元)</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lang w:val="en-US" w:eastAsia="zh-CN"/>
              </w:rPr>
              <w:t>500</w:t>
            </w:r>
            <w:r>
              <w:rPr>
                <w:rFonts w:hint="eastAsia" w:asciiTheme="minorEastAsia" w:hAnsiTheme="minorEastAsia" w:eastAsiaTheme="minorEastAsia"/>
                <w:color w:val="auto"/>
              </w:rPr>
              <w:t>(万元)</w:t>
            </w:r>
          </w:p>
        </w:tc>
        <w:tc>
          <w:tcPr>
            <w:tcW w:w="2445" w:type="dxa"/>
            <w:vAlign w:val="center"/>
          </w:tcPr>
          <w:p>
            <w:pPr>
              <w:ind w:firstLine="0" w:firstLineChars="0"/>
              <w:jc w:val="center"/>
              <w:rPr>
                <w:rFonts w:hint="eastAsia" w:eastAsia="宋体" w:asciiTheme="minorEastAsia" w:hAnsiTheme="minorEastAsia"/>
                <w:color w:val="auto"/>
                <w:lang w:eastAsia="zh-CN"/>
              </w:rPr>
            </w:pPr>
            <w:r>
              <w:rPr>
                <w:rFonts w:hint="eastAsia" w:cs="宋体" w:asciiTheme="minorEastAsia" w:hAnsiTheme="minorEastAsia" w:eastAsiaTheme="minorEastAsia"/>
                <w:color w:val="auto"/>
                <w:szCs w:val="21"/>
                <w:lang w:eastAsia="zh-CN"/>
              </w:rPr>
              <w:t>检验设备</w:t>
            </w:r>
          </w:p>
        </w:tc>
        <w:tc>
          <w:tcPr>
            <w:tcW w:w="992" w:type="dxa"/>
            <w:vAlign w:val="center"/>
          </w:tcPr>
          <w:p>
            <w:pPr>
              <w:ind w:firstLine="420"/>
              <w:jc w:val="center"/>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671" w:type="dxa"/>
            <w:vAlign w:val="center"/>
          </w:tcPr>
          <w:p>
            <w:pPr>
              <w:ind w:firstLine="0" w:firstLineChars="0"/>
              <w:jc w:val="center"/>
              <w:rPr>
                <w:rFonts w:hint="default"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2</w:t>
            </w:r>
          </w:p>
        </w:tc>
        <w:tc>
          <w:tcPr>
            <w:tcW w:w="1536" w:type="dxa"/>
            <w:vAlign w:val="center"/>
          </w:tcPr>
          <w:p>
            <w:pPr>
              <w:ind w:firstLine="0" w:firstLineChars="0"/>
              <w:jc w:val="center"/>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lang w:eastAsia="zh-CN"/>
              </w:rPr>
              <w:t>天轨康复训练系统（进口）</w:t>
            </w:r>
          </w:p>
        </w:tc>
        <w:tc>
          <w:tcPr>
            <w:tcW w:w="851" w:type="dxa"/>
            <w:vAlign w:val="center"/>
          </w:tcPr>
          <w:p>
            <w:pPr>
              <w:ind w:firstLine="0" w:firstLineChars="0"/>
              <w:jc w:val="center"/>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批</w:t>
            </w:r>
          </w:p>
        </w:tc>
        <w:tc>
          <w:tcPr>
            <w:tcW w:w="850" w:type="dxa"/>
            <w:vAlign w:val="center"/>
          </w:tcPr>
          <w:p>
            <w:pPr>
              <w:ind w:firstLine="0" w:firstLineChars="0"/>
              <w:jc w:val="center"/>
              <w:rPr>
                <w:rFonts w:hint="default"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1</w:t>
            </w:r>
          </w:p>
        </w:tc>
        <w:tc>
          <w:tcPr>
            <w:tcW w:w="1276" w:type="dxa"/>
            <w:vAlign w:val="center"/>
          </w:tcPr>
          <w:p>
            <w:pPr>
              <w:ind w:left="0" w:leftChars="0" w:firstLine="0" w:firstLineChars="0"/>
              <w:jc w:val="both"/>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385（万元）</w:t>
            </w:r>
          </w:p>
        </w:tc>
        <w:tc>
          <w:tcPr>
            <w:tcW w:w="1276" w:type="dxa"/>
            <w:vAlign w:val="center"/>
          </w:tcPr>
          <w:p>
            <w:pPr>
              <w:ind w:firstLine="0" w:firstLineChars="0"/>
              <w:jc w:val="center"/>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385（万元）</w:t>
            </w:r>
          </w:p>
        </w:tc>
        <w:tc>
          <w:tcPr>
            <w:tcW w:w="2445" w:type="dxa"/>
            <w:vAlign w:val="center"/>
          </w:tcPr>
          <w:p>
            <w:pPr>
              <w:ind w:firstLine="0" w:firstLineChars="0"/>
              <w:jc w:val="center"/>
              <w:rPr>
                <w:rFonts w:hint="eastAsia" w:eastAsia="宋体" w:cs="宋体" w:asciiTheme="minorEastAsia" w:hAnsiTheme="minorEastAsia"/>
                <w:color w:val="auto"/>
                <w:szCs w:val="21"/>
                <w:lang w:eastAsia="zh-CN"/>
              </w:rPr>
            </w:pPr>
            <w:r>
              <w:rPr>
                <w:rFonts w:hint="eastAsia"/>
                <w:b w:val="0"/>
                <w:bCs w:val="0"/>
                <w:color w:val="auto"/>
                <w:sz w:val="21"/>
                <w:szCs w:val="21"/>
              </w:rPr>
              <w:t>儿童椭圆型滑轨悬吊康复单元</w:t>
            </w:r>
            <w:r>
              <w:rPr>
                <w:rFonts w:hint="eastAsia"/>
                <w:b w:val="0"/>
                <w:bCs w:val="0"/>
                <w:color w:val="auto"/>
                <w:sz w:val="21"/>
                <w:szCs w:val="21"/>
                <w:lang w:eastAsia="zh-CN"/>
              </w:rPr>
              <w:t>、</w:t>
            </w:r>
            <w:r>
              <w:rPr>
                <w:rFonts w:hint="eastAsia" w:ascii="宋体" w:hAnsi="宋体"/>
                <w:b w:val="0"/>
                <w:bCs w:val="0"/>
                <w:color w:val="auto"/>
                <w:sz w:val="21"/>
                <w:szCs w:val="21"/>
              </w:rPr>
              <w:t>天轨系统</w:t>
            </w:r>
          </w:p>
        </w:tc>
        <w:tc>
          <w:tcPr>
            <w:tcW w:w="992" w:type="dxa"/>
            <w:vAlign w:val="center"/>
          </w:tcPr>
          <w:p>
            <w:pPr>
              <w:ind w:firstLine="420"/>
              <w:jc w:val="center"/>
              <w:rPr>
                <w:rFonts w:asciiTheme="minorEastAsia" w:hAnsiTheme="minorEastAsia" w:eastAsiaTheme="minorEastAsia"/>
                <w:color w:val="auto"/>
              </w:rPr>
            </w:pPr>
          </w:p>
        </w:tc>
      </w:tr>
    </w:tbl>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四.投标人资格要求：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1基本资格要求：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1.1符合《中华人民共和国政府采购法》第二十二条的规定；</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1.2未被“信用中国”（www.creditchina.gov.cn）、中国政府采购网（www.ccgp.gov.cn）列入失信被执行人、重大税收违法案件当事人名单、政府采购严重违法失信行为记录名单。</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1.3单位负责人为同一人或者存在直接控股、管理关系的不同投标人，不得参加同一合同项下的政府采购活动。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lang w:val="en-US" w:eastAsia="zh-CN"/>
        </w:rPr>
        <w:t>1.4</w:t>
      </w:r>
      <w:r>
        <w:rPr>
          <w:rFonts w:hint="eastAsia" w:asciiTheme="minorEastAsia" w:hAnsiTheme="minorEastAsia" w:eastAsiaTheme="minorEastAsia"/>
          <w:color w:val="auto"/>
        </w:rPr>
        <w:t>为采购项目提供整体设计、规范编制或者项目管理、监理、检测等服务的投标人，不得再参加该采购项目投标。</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2特定资格要求：</w:t>
      </w:r>
    </w:p>
    <w:p>
      <w:pPr>
        <w:ind w:firstLine="420"/>
        <w:rPr>
          <w:rFonts w:asciiTheme="minorEastAsia" w:hAnsiTheme="minorEastAsia" w:eastAsiaTheme="minorEastAsia"/>
          <w:color w:val="auto"/>
        </w:rPr>
      </w:pPr>
      <w:r>
        <w:rPr>
          <w:rFonts w:ascii="仿宋" w:hAnsi="仿宋" w:cs="Arial"/>
          <w:b w:val="0"/>
          <w:bCs w:val="0"/>
          <w:color w:val="auto"/>
          <w:sz w:val="21"/>
          <w:szCs w:val="21"/>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3联合体投标：不接受联合体投标</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五.报名、招标文件的发售时间、地址、方式、售价：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 xml:space="preserve">1.报名/发售时间：2019年 </w:t>
      </w:r>
      <w:r>
        <w:rPr>
          <w:rFonts w:hint="eastAsia" w:asciiTheme="minorEastAsia" w:hAnsiTheme="minorEastAsia" w:eastAsiaTheme="minorEastAsia"/>
          <w:color w:val="auto"/>
          <w:lang w:val="en-US" w:eastAsia="zh-CN"/>
        </w:rPr>
        <w:t>8</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30</w:t>
      </w:r>
      <w:r>
        <w:rPr>
          <w:rFonts w:hint="eastAsia" w:asciiTheme="minorEastAsia" w:hAnsiTheme="minorEastAsia" w:eastAsiaTheme="minorEastAsia"/>
          <w:color w:val="auto"/>
        </w:rPr>
        <w:t xml:space="preserve"> 日至2019年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 xml:space="preserve"> 月 </w:t>
      </w:r>
      <w:r>
        <w:rPr>
          <w:rFonts w:hint="eastAsia" w:asciiTheme="minorEastAsia" w:hAnsiTheme="minorEastAsia" w:eastAsiaTheme="minorEastAsia"/>
          <w:color w:val="auto"/>
          <w:lang w:val="en-US" w:eastAsia="zh-CN"/>
        </w:rPr>
        <w:t>6</w:t>
      </w:r>
      <w:r>
        <w:rPr>
          <w:rFonts w:hint="eastAsia" w:asciiTheme="minorEastAsia" w:hAnsiTheme="minorEastAsia" w:eastAsiaTheme="minorEastAsia"/>
          <w:color w:val="auto"/>
        </w:rPr>
        <w:t xml:space="preserve"> 日（双休日及法定节假日除外）。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上午：</w:t>
      </w:r>
      <w:bookmarkStart w:id="5" w:name="B21_招标文件的发布上午时间"/>
      <w:r>
        <w:rPr>
          <w:rFonts w:hint="eastAsia" w:asciiTheme="minorEastAsia" w:hAnsiTheme="minorEastAsia" w:eastAsiaTheme="minorEastAsia"/>
          <w:color w:val="auto"/>
        </w:rPr>
        <w:t>9:00-11:30</w:t>
      </w:r>
      <w:bookmarkEnd w:id="5"/>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下午：</w:t>
      </w:r>
      <w:bookmarkStart w:id="6" w:name="B22_招标文件的发布下午时间"/>
      <w:r>
        <w:rPr>
          <w:rFonts w:hint="eastAsia" w:asciiTheme="minorEastAsia" w:hAnsiTheme="minorEastAsia" w:eastAsiaTheme="minorEastAsia"/>
          <w:color w:val="auto"/>
        </w:rPr>
        <w:t>14:00-17:00</w:t>
      </w:r>
      <w:bookmarkEnd w:id="6"/>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2.报名/发售地址：</w:t>
      </w:r>
      <w:bookmarkStart w:id="7" w:name="B23_招标文件的发布地点"/>
      <w:r>
        <w:rPr>
          <w:rFonts w:hint="eastAsia" w:asciiTheme="minorEastAsia" w:hAnsiTheme="minorEastAsia" w:eastAsiaTheme="minorEastAsia"/>
          <w:color w:val="auto"/>
        </w:rPr>
        <w:t>杭州市西湖区</w:t>
      </w:r>
      <w:bookmarkEnd w:id="7"/>
      <w:r>
        <w:rPr>
          <w:rFonts w:hint="eastAsia" w:asciiTheme="minorEastAsia" w:hAnsiTheme="minorEastAsia" w:eastAsiaTheme="minorEastAsia"/>
          <w:color w:val="auto"/>
        </w:rPr>
        <w:t>万塘路28号院内浙江信镧建设工程咨询有限公司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3.标书售价(元)：每本500（售后不退）</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4.投标人购买标书时应提交的资料：供应商报名登记表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5.获取方式：</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（1）现场报名：现场报名时携带供应商报名表，并现场交纳标书费（可现金支付）。</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（2）网上报名：将供应商报名表扫描件和标书费缴费凭证发送至浙江信镧建设工程咨询有限公司邮箱（</w:t>
      </w:r>
      <w:r>
        <w:rPr>
          <w:color w:val="auto"/>
        </w:rPr>
        <w:fldChar w:fldCharType="begin"/>
      </w:r>
      <w:r>
        <w:rPr>
          <w:color w:val="auto"/>
        </w:rPr>
        <w:instrText xml:space="preserve"> HYPERLINK "mailto:ZJXL85024997@163.com" </w:instrText>
      </w:r>
      <w:r>
        <w:rPr>
          <w:color w:val="auto"/>
        </w:rPr>
        <w:fldChar w:fldCharType="separate"/>
      </w:r>
      <w:r>
        <w:rPr>
          <w:rStyle w:val="24"/>
          <w:rFonts w:hint="eastAsia" w:cs="宋体" w:asciiTheme="minorEastAsia" w:hAnsiTheme="minorEastAsia" w:eastAsiaTheme="minorEastAsia"/>
          <w:color w:val="auto"/>
          <w:szCs w:val="21"/>
        </w:rPr>
        <w:t>ZJXL</w:t>
      </w:r>
      <w:r>
        <w:rPr>
          <w:rStyle w:val="24"/>
          <w:rFonts w:cs="宋体" w:asciiTheme="minorEastAsia" w:hAnsiTheme="minorEastAsia" w:eastAsiaTheme="minorEastAsia"/>
          <w:color w:val="auto"/>
          <w:szCs w:val="21"/>
        </w:rPr>
        <w:t>85024997</w:t>
      </w:r>
      <w:r>
        <w:rPr>
          <w:rStyle w:val="24"/>
          <w:rFonts w:hint="eastAsia" w:cs="宋体" w:asciiTheme="minorEastAsia" w:hAnsiTheme="minorEastAsia" w:eastAsiaTheme="minorEastAsia"/>
          <w:color w:val="auto"/>
          <w:szCs w:val="21"/>
        </w:rPr>
        <w:t>@1</w:t>
      </w:r>
      <w:r>
        <w:rPr>
          <w:rStyle w:val="24"/>
          <w:rFonts w:cs="宋体" w:asciiTheme="minorEastAsia" w:hAnsiTheme="minorEastAsia" w:eastAsiaTheme="minorEastAsia"/>
          <w:color w:val="auto"/>
          <w:szCs w:val="21"/>
        </w:rPr>
        <w:t>63</w:t>
      </w:r>
      <w:r>
        <w:rPr>
          <w:rStyle w:val="24"/>
          <w:rFonts w:hint="eastAsia" w:cs="宋体" w:asciiTheme="minorEastAsia" w:hAnsiTheme="minorEastAsia" w:eastAsiaTheme="minorEastAsia"/>
          <w:color w:val="auto"/>
          <w:szCs w:val="21"/>
        </w:rPr>
        <w:t>.com</w:t>
      </w:r>
      <w:r>
        <w:rPr>
          <w:rStyle w:val="24"/>
          <w:rFonts w:hint="eastAsia" w:cs="宋体" w:asciiTheme="minorEastAsia" w:hAnsiTheme="minorEastAsia" w:eastAsiaTheme="minorEastAsia"/>
          <w:color w:val="auto"/>
          <w:szCs w:val="21"/>
        </w:rPr>
        <w:fldChar w:fldCharType="end"/>
      </w:r>
      <w:r>
        <w:rPr>
          <w:rFonts w:hint="eastAsia" w:asciiTheme="minorEastAsia" w:hAnsiTheme="minorEastAsia" w:eastAsiaTheme="minorEastAsia"/>
          <w:color w:val="auto"/>
        </w:rPr>
        <w:t>）。</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6.标书费收款账号：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收款单位（户名）：浙江信镧建设工程咨询有限公司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开户银行：交通银行华浙广场支行</w:t>
      </w:r>
    </w:p>
    <w:p>
      <w:pPr>
        <w:tabs>
          <w:tab w:val="center" w:pos="4859"/>
        </w:tabs>
        <w:ind w:firstLine="420"/>
        <w:rPr>
          <w:rFonts w:asciiTheme="minorEastAsia" w:hAnsiTheme="minorEastAsia" w:eastAsiaTheme="minorEastAsia"/>
          <w:color w:val="auto"/>
        </w:rPr>
      </w:pPr>
      <w:r>
        <w:rPr>
          <w:rFonts w:hint="eastAsia" w:asciiTheme="minorEastAsia" w:hAnsiTheme="minorEastAsia" w:eastAsiaTheme="minorEastAsia"/>
          <w:color w:val="auto"/>
        </w:rPr>
        <w:t>银行账号：331066090018170036304</w:t>
      </w:r>
      <w:r>
        <w:rPr>
          <w:rFonts w:asciiTheme="minorEastAsia" w:hAnsiTheme="minorEastAsia" w:eastAsiaTheme="minorEastAsia"/>
          <w:color w:val="auto"/>
        </w:rPr>
        <w:tab/>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六.投标截止时间</w:t>
      </w:r>
      <w:bookmarkStart w:id="8" w:name="B25_投标截止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 xml:space="preserve"> 月 </w:t>
      </w:r>
      <w:r>
        <w:rPr>
          <w:rFonts w:hint="eastAsia" w:asciiTheme="minorEastAsia" w:hAnsiTheme="minorEastAsia" w:eastAsiaTheme="minorEastAsia"/>
          <w:color w:val="auto"/>
          <w:lang w:val="en-US" w:eastAsia="zh-CN"/>
        </w:rPr>
        <w:t>19</w:t>
      </w:r>
      <w:r>
        <w:rPr>
          <w:rFonts w:hint="eastAsia" w:asciiTheme="minorEastAsia" w:hAnsiTheme="minorEastAsia" w:eastAsiaTheme="minorEastAsia"/>
          <w:color w:val="auto"/>
        </w:rPr>
        <w:t xml:space="preserve"> 日</w:t>
      </w:r>
      <w:bookmarkEnd w:id="8"/>
      <w:bookmarkStart w:id="9" w:name="B26_投标截止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rPr>
        <w:t>09:</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9"/>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七.投标</w:t>
      </w:r>
      <w:bookmarkStart w:id="10" w:name="B27_投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0"/>
      <w:r>
        <w:rPr>
          <w:rFonts w:hint="eastAsia" w:asciiTheme="minorEastAsia" w:hAnsiTheme="minorEastAsia" w:eastAsiaTheme="minorEastAsia"/>
          <w:color w:val="auto"/>
        </w:rPr>
        <w:t>万塘路28号院内浙江信镧建设工程咨询有限公司</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八.开标时间</w:t>
      </w:r>
      <w:bookmarkStart w:id="11" w:name="B28_开标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 xml:space="preserve"> 月 </w:t>
      </w:r>
      <w:r>
        <w:rPr>
          <w:rFonts w:hint="eastAsia" w:asciiTheme="minorEastAsia" w:hAnsiTheme="minorEastAsia" w:eastAsiaTheme="minorEastAsia"/>
          <w:color w:val="auto"/>
          <w:lang w:val="en-US" w:eastAsia="zh-CN"/>
        </w:rPr>
        <w:t>19</w:t>
      </w:r>
      <w:r>
        <w:rPr>
          <w:rFonts w:hint="eastAsia" w:asciiTheme="minorEastAsia" w:hAnsiTheme="minorEastAsia" w:eastAsiaTheme="minorEastAsia"/>
          <w:color w:val="auto"/>
        </w:rPr>
        <w:t xml:space="preserve"> 日</w:t>
      </w:r>
      <w:bookmarkEnd w:id="11"/>
      <w:bookmarkStart w:id="12" w:name="B29_开标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rPr>
        <w:t>09:</w:t>
      </w:r>
      <w:r>
        <w:rPr>
          <w:rFonts w:hint="eastAsia" w:asciiTheme="minorEastAsia" w:hAnsiTheme="minorEastAsia" w:eastAsiaTheme="minorEastAsia"/>
          <w:color w:val="auto"/>
          <w:lang w:val="en-US" w:eastAsia="zh-CN"/>
        </w:rPr>
        <w:t>0</w:t>
      </w:r>
      <w:bookmarkStart w:id="141" w:name="_GoBack"/>
      <w:bookmarkEnd w:id="141"/>
      <w:r>
        <w:rPr>
          <w:rFonts w:hint="eastAsia" w:asciiTheme="minorEastAsia" w:hAnsiTheme="minorEastAsia" w:eastAsiaTheme="minorEastAsia"/>
          <w:color w:val="auto"/>
        </w:rPr>
        <w:t>0</w:t>
      </w:r>
      <w:bookmarkEnd w:id="12"/>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九.开标</w:t>
      </w:r>
      <w:bookmarkStart w:id="13" w:name="B30_开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3"/>
      <w:r>
        <w:rPr>
          <w:rFonts w:hint="eastAsia" w:asciiTheme="minorEastAsia" w:hAnsiTheme="minorEastAsia" w:eastAsiaTheme="minorEastAsia"/>
          <w:color w:val="auto"/>
        </w:rPr>
        <w:t>万塘路28号院内浙江信镧建设工程咨询有限公司开标室</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十.其他事项：</w:t>
      </w:r>
    </w:p>
    <w:p>
      <w:pPr>
        <w:ind w:firstLine="420"/>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投标人认为招标文件使自己的权益受到损害的，可以自收到招标文件之日（发售截止日之后收到招标文件的，以发售截止日为准）或者招标文件公告期限届满之日（招标公告为公告发布后的第6个工作日）起7个工作日内，以书面形式向采购人和采购代理机构一次性提出质疑，逾期不再受理。质疑投标人对采购人、采购代理机构的答复不满意或者采购人、采购代理机构未在规定的时间内作出答复的，可以在答复期满后1</w:t>
      </w:r>
      <w:r>
        <w:rPr>
          <w:rFonts w:asciiTheme="minorEastAsia" w:hAnsiTheme="minorEastAsia" w:eastAsiaTheme="minorEastAsia"/>
          <w:color w:val="auto"/>
        </w:rPr>
        <w:t>5</w:t>
      </w:r>
      <w:r>
        <w:rPr>
          <w:rFonts w:hint="eastAsia" w:asciiTheme="minorEastAsia" w:hAnsiTheme="minorEastAsia" w:eastAsiaTheme="minorEastAsia"/>
          <w:color w:val="auto"/>
        </w:rPr>
        <w:t>个工作日内向同级政府采购监督管理部门投诉。质疑函范本、投诉书范本请到浙江政府采购网下载专区下载。</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2.采购公告期限：5个工作日。</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3.采购项目需要落实的政府采购政策：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（1）对符合政府采购扶持政策的小型、微型企业（监狱企业、残疾人福利性单位视同小微企业）给予价格优惠扶持；</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根据财政部和生态环境部（财库〔2019〕18号）《环境标志产品政府采购品目清单》、财政部和国家发展改革委员会（财库〔2019〕19号）《节能产品政府采购品目清单》，凡提供的产品主体有环境标志产品认证证书或节能产品认证证书的，享技术分加分，具体详见评分细则。属于《节能产品政府采购品目清单》中政府强制采购产品的，投标人必须提供符合要求的产品。</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w:t>
      </w:r>
      <w:r>
        <w:rPr>
          <w:rFonts w:asciiTheme="minorEastAsia" w:hAnsiTheme="minorEastAsia" w:eastAsiaTheme="minorEastAsia"/>
          <w:color w:val="auto"/>
        </w:rPr>
        <w:t>3</w:t>
      </w:r>
      <w:r>
        <w:rPr>
          <w:rFonts w:hint="eastAsia" w:asciiTheme="minorEastAsia" w:hAnsiTheme="minorEastAsia" w:eastAsiaTheme="minorEastAsia"/>
          <w:color w:val="auto"/>
        </w:rPr>
        <w:t>）经政府采购管理部门批准，本项目可采购进口产品，同时允许国产产品前来投标。</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 招标文件发售截止时间之后，潜在投标人仍可继续报名（开标前1个工作日不再受理报名）。</w:t>
      </w:r>
    </w:p>
    <w:bookmarkEnd w:id="0"/>
    <w:p>
      <w:pPr>
        <w:pStyle w:val="5"/>
        <w:ind w:firstLine="422" w:firstLineChars="200"/>
        <w:rPr>
          <w:color w:val="auto"/>
          <w:highlight w:val="none"/>
        </w:rPr>
      </w:pPr>
      <w:bookmarkStart w:id="14" w:name="_Toc10659"/>
      <w:bookmarkStart w:id="15" w:name="_Toc5836"/>
      <w:bookmarkStart w:id="16" w:name="_Toc504485732"/>
      <w:r>
        <w:rPr>
          <w:rFonts w:hint="eastAsia"/>
          <w:color w:val="auto"/>
          <w:highlight w:val="none"/>
        </w:rPr>
        <w:t>十</w:t>
      </w:r>
      <w:r>
        <w:rPr>
          <w:rFonts w:hint="eastAsia"/>
          <w:color w:val="auto"/>
          <w:highlight w:val="none"/>
          <w:lang w:eastAsia="zh-CN"/>
        </w:rPr>
        <w:t>一</w:t>
      </w:r>
      <w:r>
        <w:rPr>
          <w:color w:val="auto"/>
          <w:highlight w:val="none"/>
        </w:rPr>
        <w:t>.</w:t>
      </w:r>
      <w:r>
        <w:rPr>
          <w:rFonts w:hint="eastAsia"/>
          <w:color w:val="auto"/>
          <w:highlight w:val="none"/>
        </w:rPr>
        <w:t>联系方式：</w:t>
      </w:r>
      <w:bookmarkEnd w:id="14"/>
      <w:bookmarkEnd w:id="15"/>
      <w:bookmarkEnd w:id="16"/>
    </w:p>
    <w:p>
      <w:pPr>
        <w:ind w:firstLine="31680"/>
        <w:rPr>
          <w:rFonts w:hint="eastAsia" w:ascii="宋体" w:hAnsi="宋体" w:eastAsia="宋体" w:cs="宋体"/>
          <w:color w:val="auto"/>
          <w:highlight w:val="none"/>
        </w:rPr>
      </w:pPr>
      <w:r>
        <w:rPr>
          <w:color w:val="auto"/>
          <w:highlight w:val="none"/>
        </w:rPr>
        <w:t>1</w:t>
      </w:r>
      <w:r>
        <w:rPr>
          <w:rFonts w:hint="eastAsia"/>
          <w:color w:val="auto"/>
          <w:highlight w:val="none"/>
        </w:rPr>
        <w:t>、</w:t>
      </w:r>
      <w:r>
        <w:rPr>
          <w:rFonts w:hint="eastAsia"/>
          <w:color w:val="auto"/>
          <w:highlight w:val="none"/>
          <w:lang w:eastAsia="zh-CN"/>
        </w:rPr>
        <w:t>招标</w:t>
      </w:r>
      <w:r>
        <w:rPr>
          <w:rFonts w:hint="eastAsia" w:ascii="宋体" w:hAnsi="宋体" w:eastAsia="宋体" w:cs="宋体"/>
          <w:color w:val="auto"/>
          <w:highlight w:val="none"/>
        </w:rPr>
        <w:t>代理机构名称：浙江信镧建设工程咨询有限公司</w:t>
      </w:r>
    </w:p>
    <w:p>
      <w:pPr>
        <w:ind w:firstLine="738" w:firstLineChars="35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eastAsia="zh-CN"/>
        </w:rPr>
        <w:t>报名、</w:t>
      </w:r>
      <w:r>
        <w:rPr>
          <w:rFonts w:hint="eastAsia" w:ascii="宋体" w:hAnsi="宋体" w:cs="宋体"/>
          <w:b/>
          <w:bCs/>
          <w:color w:val="auto"/>
          <w:highlight w:val="none"/>
          <w:lang w:eastAsia="zh-CN"/>
        </w:rPr>
        <w:t>招标</w:t>
      </w:r>
      <w:r>
        <w:rPr>
          <w:rFonts w:hint="eastAsia" w:ascii="宋体" w:hAnsi="宋体" w:eastAsia="宋体" w:cs="宋体"/>
          <w:b/>
          <w:bCs/>
          <w:color w:val="auto"/>
          <w:highlight w:val="none"/>
          <w:lang w:eastAsia="zh-CN"/>
        </w:rPr>
        <w:t>文件</w:t>
      </w:r>
      <w:r>
        <w:rPr>
          <w:rFonts w:hint="eastAsia" w:ascii="宋体" w:hAnsi="宋体" w:eastAsia="宋体" w:cs="宋体"/>
          <w:b/>
          <w:bCs/>
          <w:color w:val="auto"/>
          <w:highlight w:val="none"/>
        </w:rPr>
        <w:t>咨询联系人：</w:t>
      </w:r>
      <w:r>
        <w:rPr>
          <w:rFonts w:hint="eastAsia" w:ascii="宋体" w:hAnsi="宋体" w:eastAsia="宋体" w:cs="宋体"/>
          <w:color w:val="auto"/>
          <w:highlight w:val="none"/>
        </w:rPr>
        <w:t xml:space="preserve">陈宏卿 </w:t>
      </w:r>
      <w:r>
        <w:rPr>
          <w:rFonts w:hint="eastAsia" w:ascii="宋体" w:hAnsi="宋体" w:eastAsia="宋体" w:cs="宋体"/>
          <w:color w:val="auto"/>
          <w:highlight w:val="none"/>
          <w:lang w:val="en-US" w:eastAsia="zh-CN"/>
        </w:rPr>
        <w:t xml:space="preserve"> </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pStyle w:val="2"/>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highlight w:val="none"/>
          <w:lang w:val="en-US" w:eastAsia="zh-CN"/>
        </w:rPr>
        <w:t>开评标、中标通知书、合同签订联系人：</w:t>
      </w:r>
      <w:r>
        <w:rPr>
          <w:rFonts w:hint="eastAsia" w:ascii="宋体" w:hAnsi="宋体" w:eastAsia="宋体" w:cs="宋体"/>
          <w:color w:val="auto"/>
          <w:highlight w:val="none"/>
          <w:lang w:val="en-US" w:eastAsia="zh-CN"/>
        </w:rPr>
        <w:t xml:space="preserve">胡校芳 </w:t>
      </w:r>
      <w:r>
        <w:rPr>
          <w:rFonts w:hint="eastAsia" w:ascii="宋体" w:hAnsi="宋体" w:eastAsia="宋体" w:cs="宋体"/>
          <w:color w:val="auto"/>
          <w:highlight w:val="none"/>
        </w:rPr>
        <w:t>葛长英</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传真：0571-85024997</w:t>
      </w:r>
    </w:p>
    <w:p>
      <w:pPr>
        <w:ind w:firstLine="738" w:firstLineChars="350"/>
        <w:rPr>
          <w:b/>
          <w:bCs/>
          <w:color w:val="auto"/>
          <w:highlight w:val="none"/>
        </w:rPr>
      </w:pPr>
      <w:r>
        <w:rPr>
          <w:rFonts w:hint="eastAsia"/>
          <w:b/>
          <w:bCs/>
          <w:color w:val="auto"/>
          <w:highlight w:val="none"/>
        </w:rPr>
        <w:t>财务咨询</w:t>
      </w:r>
      <w:r>
        <w:rPr>
          <w:rFonts w:hint="eastAsia"/>
          <w:b/>
          <w:bCs/>
          <w:color w:val="auto"/>
          <w:highlight w:val="none"/>
          <w:lang w:eastAsia="zh-CN"/>
        </w:rPr>
        <w:t>（磋商文件费、发票）</w:t>
      </w:r>
      <w:r>
        <w:rPr>
          <w:rFonts w:hint="eastAsia"/>
          <w:b/>
          <w:bCs/>
          <w:color w:val="auto"/>
          <w:highlight w:val="none"/>
        </w:rPr>
        <w:t>联系人：张会计</w:t>
      </w:r>
    </w:p>
    <w:p>
      <w:pPr>
        <w:ind w:firstLine="735" w:firstLineChars="350"/>
        <w:rPr>
          <w:color w:val="auto"/>
          <w:highlight w:val="none"/>
        </w:rPr>
      </w:pPr>
      <w:r>
        <w:rPr>
          <w:rFonts w:hint="eastAsia"/>
          <w:color w:val="auto"/>
          <w:highlight w:val="none"/>
        </w:rPr>
        <w:t>联系电话：</w:t>
      </w:r>
      <w:r>
        <w:rPr>
          <w:color w:val="auto"/>
          <w:highlight w:val="none"/>
        </w:rPr>
        <w:t>18905813512</w:t>
      </w:r>
    </w:p>
    <w:p>
      <w:pPr>
        <w:ind w:firstLine="735" w:firstLineChars="350"/>
        <w:rPr>
          <w:color w:val="auto"/>
          <w:highlight w:val="none"/>
        </w:rPr>
      </w:pPr>
      <w:r>
        <w:rPr>
          <w:rFonts w:hint="eastAsia"/>
          <w:color w:val="auto"/>
          <w:highlight w:val="none"/>
        </w:rPr>
        <w:t>地址：</w:t>
      </w:r>
      <w:r>
        <w:rPr>
          <w:rFonts w:hint="eastAsia" w:ascii="宋体" w:hAnsi="宋体" w:eastAsia="宋体" w:cs="宋体"/>
          <w:b w:val="0"/>
          <w:bCs/>
          <w:color w:val="auto"/>
          <w:highlight w:val="none"/>
          <w:lang w:eastAsia="zh-CN"/>
        </w:rPr>
        <w:t>杭州市</w:t>
      </w:r>
      <w:r>
        <w:rPr>
          <w:rFonts w:hint="eastAsia"/>
          <w:color w:val="auto"/>
          <w:highlight w:val="none"/>
        </w:rPr>
        <w:t>西湖区万塘路</w:t>
      </w:r>
      <w:r>
        <w:rPr>
          <w:color w:val="auto"/>
          <w:highlight w:val="none"/>
        </w:rPr>
        <w:t>28号</w:t>
      </w:r>
    </w:p>
    <w:p>
      <w:pPr>
        <w:ind w:firstLine="42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kern w:val="0"/>
          <w:szCs w:val="21"/>
        </w:rPr>
        <w:t>2.采购人：</w:t>
      </w:r>
      <w:r>
        <w:rPr>
          <w:rFonts w:hint="eastAsia" w:cs="宋体" w:asciiTheme="minorEastAsia" w:hAnsiTheme="minorEastAsia" w:eastAsiaTheme="minorEastAsia"/>
          <w:color w:val="auto"/>
          <w:szCs w:val="21"/>
          <w:lang w:eastAsia="zh-CN"/>
        </w:rPr>
        <w:t>浙江康复医院</w:t>
      </w:r>
    </w:p>
    <w:p>
      <w:pPr>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陈</w:t>
      </w:r>
      <w:r>
        <w:rPr>
          <w:rFonts w:hint="eastAsia" w:cs="宋体" w:asciiTheme="minorEastAsia" w:hAnsiTheme="minorEastAsia" w:eastAsiaTheme="minorEastAsia"/>
          <w:color w:val="auto"/>
          <w:szCs w:val="21"/>
        </w:rPr>
        <w:t>老师</w:t>
      </w:r>
    </w:p>
    <w:p>
      <w:pPr>
        <w:ind w:firstLine="630" w:firstLineChars="300"/>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rPr>
        <w:t>联系电话：</w:t>
      </w:r>
      <w:r>
        <w:rPr>
          <w:rFonts w:hint="eastAsia" w:cs="宋体" w:asciiTheme="minorEastAsia" w:hAnsiTheme="minorEastAsia" w:eastAsiaTheme="minorEastAsia"/>
          <w:color w:val="auto"/>
          <w:kern w:val="0"/>
          <w:szCs w:val="21"/>
          <w:lang w:val="en-US" w:eastAsia="zh-CN"/>
        </w:rPr>
        <w:t>0571-86821150</w:t>
      </w:r>
    </w:p>
    <w:p>
      <w:pPr>
        <w:ind w:firstLine="630" w:firstLineChars="300"/>
        <w:rPr>
          <w:rFonts w:hint="eastAsia" w:ascii="宋体" w:hAnsi="宋体"/>
          <w:color w:val="auto"/>
          <w:kern w:val="0"/>
        </w:rPr>
      </w:pPr>
      <w:r>
        <w:rPr>
          <w:rFonts w:hint="eastAsia" w:ascii="宋体" w:hAnsi="宋体"/>
          <w:color w:val="auto"/>
          <w:kern w:val="0"/>
        </w:rPr>
        <w:t>地址：浙江省杭州市江干区观音塘路103号</w:t>
      </w:r>
    </w:p>
    <w:p>
      <w:pPr>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3、</w:t>
      </w:r>
      <w:r>
        <w:rPr>
          <w:rFonts w:hint="eastAsia" w:cs="宋体" w:asciiTheme="minorEastAsia" w:hAnsiTheme="minorEastAsia" w:eastAsiaTheme="minorEastAsia"/>
          <w:color w:val="auto"/>
          <w:szCs w:val="21"/>
        </w:rPr>
        <w:t>同级政府采购监督管理部门名称：浙江省财政厅政府采购监管处</w:t>
      </w:r>
    </w:p>
    <w:p>
      <w:pPr>
        <w:ind w:firstLine="630" w:firstLineChars="3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w:t>
      </w:r>
      <w:r>
        <w:rPr>
          <w:rFonts w:hint="eastAsia" w:cs="宋体" w:asciiTheme="minorEastAsia" w:hAnsiTheme="minorEastAsia" w:eastAsiaTheme="minorEastAsia"/>
          <w:color w:val="auto"/>
          <w:szCs w:val="21"/>
        </w:rPr>
        <w:t>倪老师</w:t>
      </w:r>
    </w:p>
    <w:p>
      <w:pPr>
        <w:ind w:firstLine="630" w:firstLineChars="3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ind w:firstLine="630" w:firstLineChars="3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ind w:firstLine="630" w:firstLineChars="3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p>
      <w:pPr>
        <w:ind w:firstLine="420"/>
        <w:rPr>
          <w:rFonts w:asciiTheme="minorEastAsia" w:hAnsiTheme="minorEastAsia" w:eastAsiaTheme="minorEastAsia"/>
          <w:color w:val="auto"/>
        </w:rPr>
      </w:pP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7" w:name="_Toc6227644"/>
      <w:bookmarkStart w:id="18" w:name="_Toc22910"/>
      <w:r>
        <w:rPr>
          <w:rFonts w:hint="eastAsia" w:asciiTheme="minorEastAsia" w:hAnsiTheme="minorEastAsia" w:eastAsiaTheme="minorEastAsia"/>
          <w:color w:val="auto"/>
          <w:sz w:val="32"/>
          <w:szCs w:val="32"/>
        </w:rPr>
        <w:t>第一章 投标人须知</w:t>
      </w:r>
      <w:bookmarkEnd w:id="17"/>
      <w:bookmarkEnd w:id="18"/>
    </w:p>
    <w:p>
      <w:pPr>
        <w:pStyle w:val="5"/>
        <w:rPr>
          <w:rFonts w:cs="宋体" w:asciiTheme="minorEastAsia" w:hAnsiTheme="minorEastAsia" w:eastAsiaTheme="minorEastAsia"/>
          <w:color w:val="auto"/>
          <w:szCs w:val="21"/>
        </w:rPr>
      </w:pPr>
      <w:bookmarkStart w:id="19" w:name="_Toc452457413"/>
      <w:bookmarkStart w:id="20" w:name="_Toc1826"/>
      <w:r>
        <w:rPr>
          <w:rFonts w:hint="eastAsia" w:cs="宋体" w:asciiTheme="minorEastAsia" w:hAnsiTheme="minorEastAsia" w:eastAsiaTheme="minorEastAsia"/>
          <w:color w:val="auto"/>
          <w:szCs w:val="21"/>
        </w:rPr>
        <w:t>投标人须知前附表</w:t>
      </w:r>
      <w:bookmarkEnd w:id="19"/>
      <w:bookmarkEnd w:id="20"/>
    </w:p>
    <w:tbl>
      <w:tblPr>
        <w:tblStyle w:val="26"/>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kinsoku/>
              <w:wordWrap/>
              <w:overflowPunct/>
              <w:topLinePunct w:val="0"/>
              <w:autoSpaceDE/>
              <w:autoSpaceDN/>
              <w:bidi w:val="0"/>
              <w:spacing w:line="360" w:lineRule="auto"/>
              <w:ind w:firstLine="0" w:firstLineChars="0"/>
              <w:jc w:val="center"/>
              <w:textAlignment w:val="auto"/>
              <w:rPr>
                <w:rFonts w:cs="宋体" w:asciiTheme="minorEastAsia" w:hAnsiTheme="minorEastAsia" w:eastAsiaTheme="minorEastAsia"/>
                <w:color w:val="auto"/>
                <w:szCs w:val="21"/>
              </w:rPr>
            </w:pPr>
            <w:bookmarkStart w:id="21" w:name="_Hlk8238969"/>
            <w:r>
              <w:rPr>
                <w:rFonts w:hint="eastAsia" w:cs="宋体" w:asciiTheme="minorEastAsia" w:hAnsiTheme="minorEastAsia" w:eastAsiaTheme="minorEastAsia"/>
                <w:color w:val="auto"/>
                <w:szCs w:val="21"/>
              </w:rPr>
              <w:t>条款号</w:t>
            </w: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条款名称</w:t>
            </w:r>
          </w:p>
        </w:tc>
        <w:tc>
          <w:tcPr>
            <w:tcW w:w="6330" w:type="dxa"/>
            <w:vAlign w:val="center"/>
          </w:tcPr>
          <w:p>
            <w:pPr>
              <w:keepNext w:val="0"/>
              <w:keepLines w:val="0"/>
              <w:pageBreakBefore w:val="0"/>
              <w:kinsoku/>
              <w:wordWrap/>
              <w:overflowPunct/>
              <w:topLinePunct w:val="0"/>
              <w:autoSpaceDE/>
              <w:autoSpaceDN/>
              <w:bidi w:val="0"/>
              <w:spacing w:line="360" w:lineRule="auto"/>
              <w:ind w:firstLine="42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w:t>
            </w:r>
          </w:p>
        </w:tc>
        <w:tc>
          <w:tcPr>
            <w:tcW w:w="6330" w:type="dxa"/>
            <w:vAlign w:val="center"/>
          </w:tcPr>
          <w:p>
            <w:pPr>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color w:val="auto"/>
              </w:rPr>
            </w:pPr>
            <w:r>
              <w:rPr>
                <w:rFonts w:hint="eastAsia" w:ascii="宋体" w:hAnsi="宋体"/>
                <w:color w:val="auto"/>
                <w:kern w:val="0"/>
              </w:rPr>
              <w:t>采购人名称：</w:t>
            </w:r>
            <w:r>
              <w:rPr>
                <w:rFonts w:hint="eastAsia"/>
                <w:color w:val="auto"/>
              </w:rPr>
              <w:t>浙江康复医院</w:t>
            </w:r>
          </w:p>
          <w:p>
            <w:pPr>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color w:val="auto"/>
              </w:rPr>
            </w:pPr>
            <w:r>
              <w:rPr>
                <w:rFonts w:hint="eastAsia"/>
                <w:color w:val="auto"/>
              </w:rPr>
              <w:t>联系人：</w:t>
            </w:r>
            <w:r>
              <w:rPr>
                <w:rFonts w:hint="eastAsia"/>
                <w:color w:val="auto"/>
                <w:lang w:eastAsia="zh-CN"/>
              </w:rPr>
              <w:t>陈老师</w:t>
            </w:r>
          </w:p>
          <w:p>
            <w:pPr>
              <w:keepNext w:val="0"/>
              <w:keepLines w:val="0"/>
              <w:pageBreakBefore w:val="0"/>
              <w:kinsoku/>
              <w:wordWrap/>
              <w:overflowPunct/>
              <w:topLinePunct w:val="0"/>
              <w:autoSpaceDE/>
              <w:autoSpaceDN/>
              <w:bidi w:val="0"/>
              <w:spacing w:line="360" w:lineRule="auto"/>
              <w:ind w:left="0" w:leftChars="0" w:firstLine="0" w:firstLineChars="0"/>
              <w:textAlignment w:val="auto"/>
              <w:rPr>
                <w:rFonts w:hint="default" w:eastAsia="宋体"/>
                <w:color w:val="auto"/>
                <w:lang w:val="en-US" w:eastAsia="zh-CN"/>
              </w:rPr>
            </w:pPr>
            <w:r>
              <w:rPr>
                <w:rFonts w:hint="eastAsia" w:ascii="宋体" w:hAnsi="宋体"/>
                <w:color w:val="auto"/>
                <w:kern w:val="0"/>
              </w:rPr>
              <w:t>联系电话：</w:t>
            </w:r>
            <w:r>
              <w:rPr>
                <w:color w:val="auto"/>
                <w:kern w:val="0"/>
              </w:rPr>
              <w:t>0571-</w:t>
            </w:r>
            <w:r>
              <w:rPr>
                <w:rFonts w:hint="eastAsia"/>
                <w:color w:val="auto"/>
                <w:kern w:val="0"/>
                <w:lang w:val="en-US" w:eastAsia="zh-CN"/>
              </w:rPr>
              <w:t>86821150</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ascii="宋体" w:hAnsi="宋体"/>
                <w:color w:val="auto"/>
                <w:kern w:val="0"/>
              </w:rPr>
              <w:t>地址：</w:t>
            </w:r>
            <w:r>
              <w:rPr>
                <w:rFonts w:hint="eastAsia"/>
                <w:color w:val="auto"/>
                <w:szCs w:val="21"/>
              </w:rPr>
              <w:t>杭州市江干区观音塘路103号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采购代理机构</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名称：浙江信镧建设工程咨询有限公司</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地址：浙江杭州市西湖区万塘路28号</w:t>
            </w:r>
          </w:p>
          <w:p>
            <w:pPr>
              <w:keepNext w:val="0"/>
              <w:keepLines w:val="0"/>
              <w:pageBreakBefore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陈宏卿</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采购方式</w:t>
            </w:r>
          </w:p>
        </w:tc>
        <w:tc>
          <w:tcPr>
            <w:tcW w:w="6330"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投标人资格条件</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分包或转包</w:t>
            </w:r>
          </w:p>
        </w:tc>
        <w:tc>
          <w:tcPr>
            <w:tcW w:w="6330"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ascii="宋体" w:hAnsi="宋体" w:eastAsia="宋体" w:cs="宋体"/>
                <w:color w:val="auto"/>
                <w:szCs w:val="21"/>
                <w:lang w:eastAsia="zh-CN"/>
              </w:rPr>
              <w:t>本项目不得</w:t>
            </w:r>
            <w:r>
              <w:rPr>
                <w:rFonts w:hint="eastAsia" w:ascii="宋体" w:hAnsi="宋体" w:eastAsia="宋体" w:cs="宋体"/>
                <w:color w:val="auto"/>
                <w:szCs w:val="21"/>
              </w:rPr>
              <w:t>分包。</w:t>
            </w:r>
          </w:p>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投标有效期</w:t>
            </w:r>
          </w:p>
        </w:tc>
        <w:tc>
          <w:tcPr>
            <w:tcW w:w="6330" w:type="dxa"/>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自投标文件提交截止之日起90天内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投标文件编制、装订及密封要求</w:t>
            </w:r>
          </w:p>
        </w:tc>
        <w:tc>
          <w:tcPr>
            <w:tcW w:w="6330"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投标人应按本招标文件规定的格式及要求编制、签署、盖章、装订、密封投标文件，并标注页码，提供目录。</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将资格证明文件、报价文件、商务技术文件三份文件分别装订、分别密封，并在外包装封皮上注明：采购单位名称、项目名称、采购编号、投标人名称，授权委托人签名。投标文件均应胶装。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投标文件份数</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1.纸质版：资格证明文件、报价文件、商务技术文件正本各一份，副本各五份</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2.电子投标文件：</w:t>
            </w:r>
            <w:r>
              <w:rPr>
                <w:rFonts w:hint="eastAsia" w:cs="宋体" w:asciiTheme="minorEastAsia" w:hAnsiTheme="minorEastAsia" w:eastAsiaTheme="minorEastAsia"/>
                <w:color w:val="auto"/>
                <w:szCs w:val="21"/>
                <w:u w:val="single"/>
              </w:rPr>
              <w:t xml:space="preserve"> 1 </w:t>
            </w:r>
            <w:r>
              <w:rPr>
                <w:rFonts w:hint="eastAsia" w:cs="宋体" w:asciiTheme="minorEastAsia" w:hAnsiTheme="minorEastAsia" w:eastAsiaTheme="minorEastAsia"/>
                <w:color w:val="auto"/>
                <w:szCs w:val="21"/>
              </w:rPr>
              <w:t>份，内容与纸质投标文件正本（已盖章签字）一致，PDF格式，U盘存储。不一致的，以纸质投标文件正本为准。（U盘随报价文件一并密封）</w:t>
            </w:r>
            <w:r>
              <w:rPr>
                <w:rFonts w:hint="eastAsia" w:cs="宋体" w:asciiTheme="minorEastAsia" w:hAnsiTheme="minorEastAsia" w:eastAsiaTheme="minorEastAsia"/>
                <w:color w:val="auto"/>
                <w:szCs w:val="21"/>
                <w:lang w:eastAsia="zh-CN"/>
              </w:rPr>
              <w:t>（如投标人参加多个标项的投标，投标文件须按标项分别提供）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投标保证金</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kern w:val="0"/>
                <w:szCs w:val="21"/>
              </w:rPr>
            </w:pPr>
          </w:p>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履约保证金</w:t>
            </w:r>
          </w:p>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中标人在合同签订之日起5个工作日内向采购人指定账户交纳合同总价</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 xml:space="preserve"> %的履约保证金。履约保证金的交付方式：以支票、汇票、本票或者金融机构、担保机构出具的保函等非现金形式提交。</w:t>
            </w:r>
          </w:p>
          <w:p>
            <w:pPr>
              <w:pStyle w:val="2"/>
              <w:keepNext w:val="0"/>
              <w:keepLines w:val="0"/>
              <w:pageBreakBefore w:val="0"/>
              <w:kinsoku/>
              <w:wordWrap/>
              <w:overflowPunct/>
              <w:topLinePunct w:val="0"/>
              <w:autoSpaceDE/>
              <w:autoSpaceDN/>
              <w:bidi w:val="0"/>
              <w:spacing w:line="360" w:lineRule="auto"/>
              <w:ind w:firstLine="0" w:firstLineChars="0"/>
              <w:textAlignment w:val="auto"/>
              <w:rPr>
                <w:rFonts w:hint="eastAsia" w:eastAsiaTheme="minorEastAsia"/>
                <w:color w:val="auto"/>
                <w:lang w:eastAsia="zh-CN"/>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履约保证金在质量保证期届满，确认投标人无违约行为后5个工作日内无息返还。</w:t>
            </w:r>
            <w:r>
              <w:rPr>
                <w:rFonts w:hint="eastAsia" w:cs="宋体" w:asciiTheme="minorEastAsia" w:hAnsiTheme="minorEastAsia" w:eastAsiaTheme="minorEastAsia"/>
                <w:color w:val="auto"/>
                <w:szCs w:val="21"/>
                <w:lang w:eastAsia="zh-CN"/>
              </w:rPr>
              <w:t>（各标项）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投标文件的接收</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投标人递交投标文件时，如出现下列情况之一的，投标文件将被拒收：</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1.</w:t>
            </w:r>
            <w:r>
              <w:rPr>
                <w:rFonts w:hint="eastAsia" w:cs="宋体" w:asciiTheme="minorEastAsia" w:hAnsiTheme="minorEastAsia" w:eastAsiaTheme="minorEastAsia"/>
                <w:bCs/>
                <w:color w:val="auto"/>
                <w:szCs w:val="21"/>
              </w:rPr>
              <w:t>未密封的投标文件；</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由于包装不妥，在送交途中严重破损或失散的投标文件；</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仅以非纸制文本形式的投标文件；</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szCs w:val="21"/>
              </w:rPr>
            </w:pPr>
            <w:r>
              <w:rPr>
                <w:rFonts w:cs="宋体" w:asciiTheme="minorEastAsia" w:hAnsiTheme="minorEastAsia" w:eastAsiaTheme="minorEastAsia"/>
                <w:bCs/>
                <w:color w:val="auto"/>
                <w:szCs w:val="21"/>
              </w:rPr>
              <w:t>4.</w:t>
            </w:r>
            <w:r>
              <w:rPr>
                <w:rFonts w:hint="eastAsia" w:cs="宋体" w:asciiTheme="minorEastAsia" w:hAnsiTheme="minorEastAsia" w:eastAsiaTheme="minorEastAsia"/>
                <w:bCs/>
                <w:color w:val="auto"/>
                <w:szCs w:val="21"/>
              </w:rPr>
              <w:t>超过投标截止时间送达的投标文件。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中标通知书</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rPr>
              <w:t>中标公告在招标公告的相同媒体发布，中标人在中标公告发布之后主动来我公司领取中标通知书，落标人领取未中标通知书。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现场踏勘</w:t>
            </w:r>
          </w:p>
        </w:tc>
        <w:tc>
          <w:tcPr>
            <w:tcW w:w="6330" w:type="dxa"/>
            <w:vAlign w:val="center"/>
          </w:tcPr>
          <w:p>
            <w:pPr>
              <w:pStyle w:val="55"/>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olor w:val="auto"/>
                <w:lang w:eastAsia="zh-CN"/>
              </w:rPr>
            </w:pPr>
            <w:r>
              <w:rPr>
                <w:rFonts w:hint="eastAsia" w:asciiTheme="minorEastAsia" w:hAnsiTheme="minorEastAsia" w:eastAsiaTheme="minorEastAsia"/>
                <w:color w:val="auto"/>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样品或演示</w:t>
            </w:r>
          </w:p>
        </w:tc>
        <w:tc>
          <w:tcPr>
            <w:tcW w:w="6330" w:type="dxa"/>
            <w:vAlign w:val="center"/>
          </w:tcPr>
          <w:p>
            <w:pPr>
              <w:pStyle w:val="2"/>
              <w:keepNext w:val="0"/>
              <w:keepLines w:val="0"/>
              <w:pageBreakBefore w:val="0"/>
              <w:kinsoku/>
              <w:wordWrap/>
              <w:overflowPunct/>
              <w:topLinePunct w:val="0"/>
              <w:autoSpaceDE/>
              <w:autoSpaceDN/>
              <w:bidi w:val="0"/>
              <w:spacing w:line="360" w:lineRule="auto"/>
              <w:ind w:firstLine="0" w:firstLineChars="0"/>
              <w:textAlignment w:val="auto"/>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信用记录</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根据财库〔2016〕125号《关于在政府采购活动中查询及使用信用记录有关问题的通知》要求，采购代理机构将对投标人信用记录进行查询并甄别。</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信用信息查询的截止时点：投标截止日；</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查询渠道：“信用中国”（www.creditchina.gov.cn）、“中国政府采购网”（www.ccgp.gov.cn）；</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信用信息查询记录和证据留存具体方式：采购代理机构将查询网页打印并保存；</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行政处罚较大数额罚款标准认定：按照处罚机关所在地较大金额罚款标准进行认定。</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小微企业有关政策</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根据财库〔2011〕181号的相关规定，在评标时对小型和微型企业的投标报价给予 6 %的扣除，以扣除后的报价计算报价分。属于小型和微型企业的，投标文件中投标人必须同时提供：</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（1）《中小企业声明函》；</w:t>
            </w:r>
          </w:p>
          <w:p>
            <w:pPr>
              <w:pStyle w:val="2"/>
              <w:keepNext w:val="0"/>
              <w:keepLines w:val="0"/>
              <w:pageBreakBefore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rPr>
            </w:pPr>
            <w:r>
              <w:rPr>
                <w:rFonts w:hint="eastAsia" w:asciiTheme="minorEastAsia" w:hAnsiTheme="minorEastAsia" w:eastAsiaTheme="minorEastAsia"/>
                <w:color w:val="auto"/>
              </w:rPr>
              <w:t>（2）已正式加入浙江政府采购网供应商库的页面查询结果截图。</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根据财库〔2017〕141号的相关规定，在政府采购活动中，残疾人福利性单位视同小型、微型企业，享受评标中价格扣除政策。属于享受政府采购支持政策的残疾人福利性单位，应满足财库〔2017〕141号文件第一条的规定，并在投标文件中提供《残疾人福利性单位声明函》</w:t>
            </w:r>
            <w:r>
              <w:rPr>
                <w:rFonts w:hint="eastAsia"/>
                <w:color w:val="auto"/>
              </w:rPr>
              <w:t>（见附件）</w:t>
            </w:r>
            <w:r>
              <w:rPr>
                <w:rFonts w:hint="eastAsia" w:cs="宋体" w:asciiTheme="minorEastAsia" w:hAnsiTheme="minorEastAsia" w:eastAsiaTheme="minorEastAsia"/>
                <w:color w:val="auto"/>
                <w:szCs w:val="21"/>
              </w:rPr>
              <w:t>。</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根据财库〔2014〕68号的相关规定，在政府采购活动中，监狱企业视同小型、微型企业，享受评标中价格扣除政策，并在投标文件中提供由省级以上监狱管理局、戒毒管理局（含新疆生产建设兵团）出具的属于监狱企业的证明文件（格式自拟）。</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(注：未提供以上材料的，均不给予价格扣除，以上优惠政策只享受一次）。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是否进口产品</w:t>
            </w:r>
          </w:p>
        </w:tc>
        <w:tc>
          <w:tcPr>
            <w:tcW w:w="6330" w:type="dxa"/>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szCs w:val="21"/>
                <w:u w:val="thick"/>
              </w:rPr>
            </w:pPr>
            <w:r>
              <w:rPr>
                <w:rFonts w:hint="eastAsia" w:cs="宋体" w:asciiTheme="minorEastAsia" w:hAnsiTheme="minorEastAsia" w:eastAsiaTheme="minorEastAsia"/>
                <w:color w:val="auto"/>
                <w:szCs w:val="21"/>
              </w:rPr>
              <w:t>进口产品，国产产品也可投标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投标人注册</w:t>
            </w:r>
          </w:p>
        </w:tc>
        <w:tc>
          <w:tcPr>
            <w:tcW w:w="6330"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潜在投标人可在浙江政府采购网（http://www.zjzfcg.gov.cn/）进行免费注册，具体详见浙江政府采购网投标人注册要求或咨询政采云客服（400-881-7190），</w:t>
            </w:r>
            <w:r>
              <w:rPr>
                <w:rFonts w:hint="eastAsia" w:cs="宋体" w:asciiTheme="minorEastAsia" w:hAnsiTheme="minorEastAsia" w:eastAsiaTheme="minorEastAsia"/>
                <w:b/>
                <w:color w:val="auto"/>
                <w:szCs w:val="21"/>
              </w:rPr>
              <w:t>中标投标人应当在合同签订前完成注册并成为正式注册供应商。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招标代理服务费</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kern w:val="0"/>
                <w:szCs w:val="21"/>
              </w:rPr>
              <w:t>本项目的招标（采购）代理服务费为：按国家计委计</w:t>
            </w:r>
            <w:r>
              <w:rPr>
                <w:rFonts w:hint="eastAsia" w:cs="宋体" w:asciiTheme="minorEastAsia" w:hAnsiTheme="minorEastAsia" w:eastAsiaTheme="minorEastAsia"/>
                <w:color w:val="auto"/>
                <w:szCs w:val="21"/>
              </w:rPr>
              <w:t>价格〔20</w:t>
            </w:r>
            <w:r>
              <w:rPr>
                <w:rFonts w:cs="宋体" w:asciiTheme="minorEastAsia" w:hAnsiTheme="minorEastAsia" w:eastAsiaTheme="minorEastAsia"/>
                <w:color w:val="auto"/>
                <w:szCs w:val="21"/>
              </w:rPr>
              <w:t>02</w:t>
            </w: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1980</w:t>
            </w:r>
            <w:r>
              <w:rPr>
                <w:rFonts w:hint="eastAsia" w:cs="宋体" w:asciiTheme="minorEastAsia" w:hAnsiTheme="minorEastAsia" w:eastAsiaTheme="minorEastAsia"/>
                <w:color w:val="auto"/>
                <w:szCs w:val="21"/>
              </w:rPr>
              <w:t>号文件规定</w:t>
            </w:r>
            <w:r>
              <w:rPr>
                <w:rFonts w:hint="eastAsia" w:cs="宋体" w:asciiTheme="minorEastAsia" w:hAnsiTheme="minorEastAsia" w:eastAsiaTheme="minorEastAsia"/>
                <w:color w:val="auto"/>
                <w:kern w:val="0"/>
                <w:szCs w:val="21"/>
              </w:rPr>
              <w:t>标准的</w:t>
            </w:r>
            <w:r>
              <w:rPr>
                <w:rFonts w:hint="eastAsia" w:cs="宋体" w:asciiTheme="minorEastAsia" w:hAnsiTheme="minorEastAsia" w:eastAsiaTheme="minorEastAsia"/>
                <w:color w:val="auto"/>
                <w:kern w:val="0"/>
                <w:szCs w:val="21"/>
                <w:lang w:val="en-US" w:eastAsia="zh-CN"/>
              </w:rPr>
              <w:t>80</w:t>
            </w:r>
            <w:r>
              <w:rPr>
                <w:rFonts w:hint="eastAsia" w:cs="宋体" w:asciiTheme="minorEastAsia" w:hAnsiTheme="minorEastAsia" w:eastAsiaTheme="minorEastAsia"/>
                <w:color w:val="auto"/>
                <w:kern w:val="0"/>
                <w:szCs w:val="21"/>
              </w:rPr>
              <w:t>%收取。由中标人在领取中标通知书时一次性向采购代理机构付清。支付账号同标书费支付账号。</w:t>
            </w:r>
            <w:r>
              <w:rPr>
                <w:rFonts w:hint="eastAsia" w:cs="宋体" w:asciiTheme="minorEastAsia" w:hAnsiTheme="minorEastAsia" w:eastAsiaTheme="minorEastAsia"/>
                <w:color w:val="auto"/>
                <w:kern w:val="0"/>
                <w:szCs w:val="21"/>
                <w:lang w:eastAsia="zh-CN"/>
              </w:rPr>
              <w:t>（按标项分别计算）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招标文件询疑</w:t>
            </w:r>
          </w:p>
        </w:tc>
        <w:tc>
          <w:tcPr>
            <w:tcW w:w="6330"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w:t>
            </w:r>
            <w:r>
              <w:rPr>
                <w:rFonts w:hint="eastAsia" w:ascii="宋体" w:hAnsi="宋体" w:eastAsia="宋体" w:cs="宋体"/>
                <w:color w:val="auto"/>
                <w:kern w:val="0"/>
                <w:szCs w:val="21"/>
              </w:rPr>
              <w:t>如对</w:t>
            </w:r>
            <w:r>
              <w:rPr>
                <w:rFonts w:hint="eastAsia" w:ascii="宋体" w:hAnsi="宋体" w:cs="宋体"/>
                <w:color w:val="auto"/>
                <w:kern w:val="0"/>
                <w:szCs w:val="21"/>
                <w:lang w:eastAsia="zh-CN"/>
              </w:rPr>
              <w:t>招标</w:t>
            </w:r>
            <w:r>
              <w:rPr>
                <w:rFonts w:hint="eastAsia" w:ascii="宋体" w:hAnsi="宋体" w:eastAsia="宋体" w:cs="宋体"/>
                <w:color w:val="auto"/>
                <w:kern w:val="0"/>
                <w:szCs w:val="21"/>
              </w:rPr>
              <w:t>文件有异议，应当于公告发布之日起至公告期限满第7个工作日内，以书面形式</w:t>
            </w:r>
            <w:r>
              <w:rPr>
                <w:rFonts w:hint="eastAsia" w:ascii="宋体" w:hAnsi="宋体" w:eastAsia="宋体" w:cs="宋体"/>
                <w:color w:val="auto"/>
                <w:kern w:val="0"/>
                <w:szCs w:val="21"/>
                <w:lang w:eastAsia="zh-CN"/>
              </w:rPr>
              <w:t>一次性</w:t>
            </w:r>
            <w:r>
              <w:rPr>
                <w:rFonts w:hint="eastAsia" w:ascii="宋体" w:hAnsi="宋体" w:eastAsia="宋体" w:cs="宋体"/>
                <w:color w:val="auto"/>
                <w:kern w:val="0"/>
                <w:szCs w:val="21"/>
              </w:rPr>
              <w:t>向</w:t>
            </w:r>
            <w:r>
              <w:rPr>
                <w:rFonts w:hint="eastAsia" w:ascii="宋体" w:hAnsi="宋体" w:eastAsia="宋体" w:cs="宋体"/>
                <w:color w:val="auto"/>
                <w:kern w:val="0"/>
                <w:szCs w:val="21"/>
                <w:lang w:eastAsia="zh-CN"/>
              </w:rPr>
              <w:t>代理机构</w:t>
            </w:r>
            <w:r>
              <w:rPr>
                <w:rFonts w:hint="eastAsia" w:ascii="宋体" w:hAnsi="宋体" w:eastAsia="宋体" w:cs="宋体"/>
                <w:color w:val="auto"/>
                <w:kern w:val="0"/>
                <w:szCs w:val="21"/>
              </w:rPr>
              <w:t>提出，逾期不予受理。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80"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w:t>
            </w:r>
          </w:p>
        </w:tc>
        <w:tc>
          <w:tcPr>
            <w:tcW w:w="6330" w:type="dxa"/>
            <w:vAlign w:val="center"/>
          </w:tcPr>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根据《政府采购质疑和投诉办法》（财政部令第94号）的规定，投标人认为招标文件、采购过程和中标、成交结果使自己的权益受到损害的，可以在知道或者应知其权益受到损害之日起7个工作日内，以书面形式向采购人、采购代理机构提出质疑。</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投标人应当在法定质疑期内一次性提出针对同一采购程序环节的质疑。</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质疑起算日期：</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1.</w:t>
            </w:r>
            <w:r>
              <w:rPr>
                <w:rFonts w:hint="eastAsia" w:cs="宋体" w:asciiTheme="minorEastAsia" w:hAnsiTheme="minorEastAsia" w:eastAsiaTheme="minorEastAsia"/>
                <w:color w:val="auto"/>
                <w:kern w:val="0"/>
                <w:szCs w:val="21"/>
              </w:rPr>
              <w:t>对采购公告信息（含投标人资格条件）提出质疑的，质疑期限自采购公告发布之日起计算。</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2.</w:t>
            </w:r>
            <w:r>
              <w:rPr>
                <w:rFonts w:hint="eastAsia" w:cs="宋体" w:asciiTheme="minorEastAsia" w:hAnsiTheme="minorEastAsia" w:eastAsiaTheme="minorEastAsia"/>
                <w:color w:val="auto"/>
                <w:kern w:val="0"/>
                <w:szCs w:val="21"/>
              </w:rPr>
              <w:t>对招标文件提出质疑的，质疑期限自投标人获得招标文件之日起计算。（发售截止日之后报名的投标人，质疑起算日期以发售截止日起计算）</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3.</w:t>
            </w:r>
            <w:r>
              <w:rPr>
                <w:rFonts w:hint="eastAsia" w:cs="宋体" w:asciiTheme="minorEastAsia" w:hAnsiTheme="minorEastAsia" w:eastAsiaTheme="minorEastAsia"/>
                <w:color w:val="auto"/>
                <w:kern w:val="0"/>
                <w:szCs w:val="21"/>
              </w:rPr>
              <w:t>对采购过程提出质疑的，为各采购程序环节结束之日。</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4.</w:t>
            </w:r>
            <w:r>
              <w:rPr>
                <w:rFonts w:hint="eastAsia" w:cs="宋体" w:asciiTheme="minorEastAsia" w:hAnsiTheme="minorEastAsia" w:eastAsiaTheme="minorEastAsia"/>
                <w:color w:val="auto"/>
                <w:kern w:val="0"/>
                <w:szCs w:val="21"/>
              </w:rPr>
              <w:t>对采购结果提出质疑的，质疑期限自采购结果公告（包括公示、预公告、结果变更公告等）之日起计算。否则，被质疑人可不予接受。</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人可以采取直接递交、传真或邮寄方式提交质疑书（一式三份以上）。以其他方式提出的质疑，被质疑人将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质疑受理联系方式</w:t>
            </w:r>
          </w:p>
        </w:tc>
        <w:tc>
          <w:tcPr>
            <w:tcW w:w="6330" w:type="dxa"/>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受理单位：浙江信镧建设工程咨询有限公司</w:t>
            </w:r>
          </w:p>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cs="宋体" w:asciiTheme="minorEastAsia" w:hAnsiTheme="minorEastAsia" w:eastAsiaTheme="minorEastAsia"/>
                <w:color w:val="auto"/>
                <w:kern w:val="0"/>
                <w:szCs w:val="21"/>
                <w:lang w:eastAsia="zh-CN"/>
              </w:rPr>
            </w:pPr>
            <w:r>
              <w:rPr>
                <w:rFonts w:hint="eastAsia" w:cs="宋体" w:asciiTheme="minorEastAsia" w:hAnsiTheme="minorEastAsia" w:eastAsiaTheme="minorEastAsia"/>
                <w:color w:val="auto"/>
                <w:kern w:val="0"/>
                <w:szCs w:val="21"/>
              </w:rPr>
              <w:t>受理人：姚</w:t>
            </w:r>
            <w:r>
              <w:rPr>
                <w:rFonts w:hint="eastAsia" w:cs="宋体" w:asciiTheme="minorEastAsia" w:hAnsiTheme="minorEastAsia" w:eastAsiaTheme="minorEastAsia"/>
                <w:color w:val="auto"/>
                <w:kern w:val="0"/>
                <w:szCs w:val="21"/>
                <w:lang w:eastAsia="zh-CN"/>
              </w:rPr>
              <w:t>工</w:t>
            </w:r>
          </w:p>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电话：0571-87967630</w:t>
            </w:r>
          </w:p>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传真：0571-85024997</w:t>
            </w:r>
          </w:p>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地址：杭州市西湖区万塘路28号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widowControl/>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投诉</w:t>
            </w:r>
          </w:p>
        </w:tc>
        <w:tc>
          <w:tcPr>
            <w:tcW w:w="6330" w:type="dxa"/>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根据《政府采购质疑和投诉办法》（财政部令第94号）的规定，质疑投标人对采购人、采购代理机构的答复不满意或者采购人、采购代理机构未在规定的时间内作出答复的，可以在答复期满后15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投诉受理联系方式</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浙江省财政厅政府采购监管处</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联系人：倪老师</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asciiTheme="minorEastAsia" w:hAnsiTheme="minorEastAsia" w:eastAsiaTheme="minorEastAsia"/>
                <w:color w:val="auto"/>
              </w:rPr>
              <w:t>其他事项</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为提高采购效率，节省采购成本，获取了招标文件的供应商，若放弃参加投标的，请在开标前1天12:00之前以书面形式（电子扫描件、传真或书面送达，加盖单位公章，电子扫描件、传真件与原件具有同等效力）通知采购代理机构，以便代理机构决定是否申请抽取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asciiTheme="minorEastAsia" w:hAnsiTheme="minorEastAsia" w:eastAsiaTheme="minorEastAsia"/>
                <w:color w:val="auto"/>
              </w:rPr>
              <w:t>解释顺序</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asciiTheme="minorEastAsia" w:hAnsiTheme="minorEastAsia" w:eastAsiaTheme="minorEastAsia"/>
                <w:color w:val="auto"/>
                <w:kern w:val="0"/>
              </w:rPr>
              <w:t>招标文件内容与投标人须知前附表不符之处，以投标人须知前附表为准，浙江信镧建设工程咨询有限公司拥有最终解释权。</w:t>
            </w:r>
          </w:p>
        </w:tc>
      </w:tr>
      <w:bookmarkEnd w:id="21"/>
    </w:tbl>
    <w:p>
      <w:pPr>
        <w:pStyle w:val="4"/>
        <w:ind w:firstLine="0" w:firstLineChars="0"/>
        <w:rPr>
          <w:rFonts w:cs="宋体" w:asciiTheme="minorEastAsia" w:hAnsiTheme="minorEastAsia" w:eastAsiaTheme="minorEastAsia"/>
          <w:color w:val="auto"/>
          <w:szCs w:val="21"/>
        </w:rPr>
      </w:pPr>
      <w:bookmarkStart w:id="22" w:name="_Toc179632546"/>
      <w:bookmarkStart w:id="23" w:name="_Toc246996918"/>
      <w:bookmarkStart w:id="24" w:name="_Toc152042305"/>
      <w:bookmarkStart w:id="25" w:name="_Toc144974497"/>
      <w:bookmarkStart w:id="26" w:name="_Toc246996175"/>
      <w:bookmarkStart w:id="27" w:name="_Toc296602420"/>
      <w:bookmarkStart w:id="28" w:name="_Toc152045529"/>
      <w:bookmarkStart w:id="29" w:name="_Toc247085689"/>
      <w:bookmarkStart w:id="30" w:name="_Toc452457414"/>
      <w:r>
        <w:rPr>
          <w:rFonts w:hint="eastAsia" w:asciiTheme="minorEastAsia" w:hAnsiTheme="minorEastAsia" w:eastAsiaTheme="minorEastAsia"/>
          <w:color w:val="auto"/>
        </w:rPr>
        <w:br w:type="page"/>
      </w:r>
      <w:bookmarkEnd w:id="22"/>
      <w:bookmarkEnd w:id="23"/>
      <w:bookmarkEnd w:id="24"/>
      <w:bookmarkEnd w:id="25"/>
      <w:bookmarkEnd w:id="26"/>
      <w:bookmarkEnd w:id="27"/>
      <w:bookmarkEnd w:id="28"/>
      <w:bookmarkEnd w:id="29"/>
      <w:bookmarkEnd w:id="30"/>
      <w:bookmarkStart w:id="31" w:name="_Toc82338239"/>
      <w:bookmarkStart w:id="32" w:name="_Toc82873322"/>
      <w:bookmarkStart w:id="33" w:name="_Toc450840073"/>
      <w:bookmarkStart w:id="34" w:name="_Toc20023"/>
      <w:bookmarkStart w:id="35" w:name="_Toc296602421"/>
      <w:bookmarkStart w:id="36" w:name="_Toc246996176"/>
      <w:bookmarkStart w:id="37" w:name="_Toc247085690"/>
      <w:bookmarkStart w:id="38" w:name="_Toc179632547"/>
      <w:bookmarkStart w:id="39" w:name="_Toc246996919"/>
      <w:bookmarkStart w:id="40" w:name="_Toc144974498"/>
      <w:bookmarkStart w:id="41" w:name="_Toc152045530"/>
      <w:bookmarkStart w:id="42" w:name="_Toc152042306"/>
      <w:r>
        <w:rPr>
          <w:rFonts w:hint="eastAsia" w:cs="宋体" w:asciiTheme="minorEastAsia" w:hAnsiTheme="minorEastAsia" w:eastAsiaTheme="minorEastAsia"/>
          <w:color w:val="auto"/>
          <w:szCs w:val="21"/>
        </w:rPr>
        <w:t>1采购说明</w:t>
      </w:r>
      <w:bookmarkEnd w:id="31"/>
      <w:bookmarkEnd w:id="32"/>
      <w:bookmarkEnd w:id="33"/>
      <w:bookmarkEnd w:id="34"/>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1.1采购法律依据</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本次采购工作按照《中华人民共和国政府采购法》、《中华人民共和国政府采购法实施条例》、《政府采购货物和服务招标投标管理办法》（财政部令第87号）等有关法律法规组织和实施。</w:t>
      </w: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定义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（一）“采购代理机构”系指浙江信镧建设工程咨询有限公司。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（二）“投标人”、“供应商”系指</w:t>
      </w:r>
      <w:r>
        <w:rPr>
          <w:rFonts w:hint="eastAsia" w:cs="宋体" w:asciiTheme="minorEastAsia" w:hAnsiTheme="minorEastAsia" w:eastAsiaTheme="minorEastAsia"/>
          <w:color w:val="auto"/>
          <w:kern w:val="0"/>
          <w:szCs w:val="21"/>
        </w:rPr>
        <w:t>向采购人提交投标文件的法人、其他组织或者自然人</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（三）“货物”系指按招标文件规定投标人须向采购人提供的一切材料、设备、机械、仪器仪表、工具及其它有关技术资料和文字材料。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（四）“服务”系指按招标文件规定投标人须承担的劳务以及其他类似的义务。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（五）“采购人”系指“见投标人须知前附表”。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（六）“★”指应当实质性响应的内容或条款</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”为重要条款</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（七）“废标”系指整个采购活动无效，当时的招标、开标、评标工作不得再继续，应予废标，即便确定了中标人，中标也无效。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（八）“无效标”系指某一投标人的投标文件经采购人或采购代理机构审核其资格不符合招标文件要求，或者经评标委员会审核认定为无效。</w:t>
      </w:r>
    </w:p>
    <w:p>
      <w:pPr>
        <w:ind w:firstLine="420"/>
        <w:rPr>
          <w:rFonts w:cs="宋体" w:asciiTheme="minorEastAsia" w:hAnsiTheme="minorEastAsia" w:eastAsiaTheme="minorEastAsia"/>
          <w:color w:val="auto"/>
          <w:szCs w:val="21"/>
        </w:rPr>
      </w:pPr>
      <w:bookmarkStart w:id="43" w:name="_Hlk8572289"/>
      <w:r>
        <w:rPr>
          <w:rFonts w:hint="eastAsia" w:cs="宋体" w:asciiTheme="minorEastAsia" w:hAnsiTheme="minorEastAsia" w:eastAsiaTheme="minorEastAsia"/>
          <w:color w:val="auto"/>
          <w:szCs w:val="21"/>
        </w:rPr>
        <w:t>（九）</w:t>
      </w:r>
      <w:bookmarkStart w:id="44" w:name="_Hlk8572236"/>
      <w:r>
        <w:rPr>
          <w:rFonts w:hint="eastAsia" w:cs="宋体" w:asciiTheme="minorEastAsia" w:hAnsiTheme="minorEastAsia" w:eastAsiaTheme="minorEastAsia"/>
          <w:color w:val="auto"/>
          <w:szCs w:val="21"/>
        </w:rPr>
        <w:t>“公章”</w:t>
      </w:r>
      <w:bookmarkEnd w:id="44"/>
      <w:r>
        <w:rPr>
          <w:rFonts w:hint="eastAsia" w:cs="宋体" w:asciiTheme="minorEastAsia" w:hAnsiTheme="minorEastAsia" w:eastAsiaTheme="minorEastAsia"/>
          <w:color w:val="auto"/>
          <w:szCs w:val="21"/>
        </w:rPr>
        <w:t>指投标人的行政章，采购人、采购代理机构不接受加盖其他印鉴的投标文件（如合同章、投标专用章、有序号的章等印鉴）。</w:t>
      </w:r>
    </w:p>
    <w:bookmarkEnd w:id="43"/>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1.2合格的投标人资格要求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详见招标公告</w:t>
      </w:r>
    </w:p>
    <w:p>
      <w:pPr>
        <w:pStyle w:val="7"/>
        <w:ind w:firstLine="0" w:firstLineChars="0"/>
        <w:rPr>
          <w:rFonts w:cs="宋体" w:asciiTheme="minorEastAsia" w:hAnsiTheme="minorEastAsia" w:eastAsiaTheme="minorEastAsia"/>
          <w:color w:val="auto"/>
          <w:szCs w:val="21"/>
        </w:rPr>
      </w:pPr>
      <w:bookmarkStart w:id="45" w:name="_Hlk8239466"/>
      <w:r>
        <w:rPr>
          <w:rFonts w:hint="eastAsia" w:cs="宋体" w:asciiTheme="minorEastAsia" w:hAnsiTheme="minorEastAsia" w:eastAsiaTheme="minorEastAsia"/>
          <w:color w:val="auto"/>
          <w:szCs w:val="21"/>
        </w:rPr>
        <w:t>1.3对投标人的限制及委托有关说明</w:t>
      </w:r>
    </w:p>
    <w:bookmarkEnd w:id="45"/>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1.3.1授权代表须携带有效身份证件。如授权代表不是法定代表人，须有法定代表人出具的授权委托书（投标文件正本用原件，副本用复印件，格式见附件）。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1.3.2投标人应仔细阅读招标文件的所有内容，按照招标文件的要求提交投标文件，并对所提供的全部资料的真实性承担法律责任。</w:t>
      </w:r>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1.4投标费用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不论投标结果如何，投标人均应自行承担所有与投标有关的全部费用（招标文件有其他相反规定除外）。</w:t>
      </w:r>
    </w:p>
    <w:p>
      <w:pPr>
        <w:pStyle w:val="5"/>
        <w:rPr>
          <w:rFonts w:cs="宋体" w:asciiTheme="minorEastAsia" w:hAnsiTheme="minorEastAsia" w:eastAsiaTheme="minorEastAsia"/>
          <w:color w:val="auto"/>
          <w:szCs w:val="21"/>
        </w:rPr>
      </w:pPr>
      <w:bookmarkStart w:id="46" w:name="_Toc6227646"/>
      <w:bookmarkStart w:id="47" w:name="_Toc13672"/>
      <w:bookmarkStart w:id="48" w:name="_Toc82338240"/>
      <w:bookmarkStart w:id="49" w:name="_Toc450840074"/>
      <w:bookmarkStart w:id="50" w:name="_Toc82873323"/>
      <w:r>
        <w:rPr>
          <w:rFonts w:hint="eastAsia" w:cs="宋体" w:asciiTheme="minorEastAsia" w:hAnsiTheme="minorEastAsia" w:eastAsiaTheme="minorEastAsia"/>
          <w:color w:val="auto"/>
          <w:szCs w:val="21"/>
        </w:rPr>
        <w:t>2招标文件</w:t>
      </w:r>
      <w:bookmarkEnd w:id="46"/>
      <w:bookmarkEnd w:id="47"/>
      <w:bookmarkEnd w:id="48"/>
      <w:bookmarkEnd w:id="49"/>
      <w:bookmarkEnd w:id="50"/>
    </w:p>
    <w:p>
      <w:pPr>
        <w:pStyle w:val="6"/>
        <w:rPr>
          <w:color w:val="auto"/>
        </w:rPr>
      </w:pPr>
      <w:r>
        <w:rPr>
          <w:rFonts w:hint="eastAsia"/>
          <w:color w:val="auto"/>
        </w:rPr>
        <w:t>2.1招标文件的组成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招标文件由招标文件目录所列内容及招标补充文件（如有）等组成。</w:t>
      </w:r>
    </w:p>
    <w:p>
      <w:pPr>
        <w:pStyle w:val="6"/>
        <w:rPr>
          <w:color w:val="auto"/>
        </w:rPr>
      </w:pPr>
      <w:r>
        <w:rPr>
          <w:rFonts w:hint="eastAsia"/>
          <w:color w:val="auto"/>
        </w:rPr>
        <w:t>2.2招标文件的澄清与修改</w:t>
      </w:r>
    </w:p>
    <w:p>
      <w:pPr>
        <w:ind w:firstLine="420"/>
        <w:rPr>
          <w:rFonts w:cs="宋体" w:asciiTheme="minorEastAsia" w:hAnsiTheme="minorEastAsia" w:eastAsiaTheme="minorEastAsia"/>
          <w:color w:val="auto"/>
          <w:szCs w:val="21"/>
        </w:rPr>
      </w:pPr>
      <w:bookmarkStart w:id="51" w:name="_Toc82338241"/>
      <w:bookmarkStart w:id="52" w:name="_Toc82873324"/>
      <w:bookmarkStart w:id="53" w:name="_Toc450840075"/>
      <w:bookmarkStart w:id="54" w:name="_Toc6227647"/>
      <w:r>
        <w:rPr>
          <w:rFonts w:hint="eastAsia" w:cs="宋体" w:asciiTheme="minorEastAsia" w:hAnsiTheme="minorEastAsia" w:eastAsiaTheme="minorEastAsia"/>
          <w:color w:val="auto"/>
          <w:szCs w:val="21"/>
        </w:rPr>
        <w:t>2.2.1投标人对招标文件如有疑点要求澄清，需以书面形式（包括信函、传真）按投标人须知前附表中规定的时间（代理机构逾期不再受理疑点澄清）通知采购代理机构，采购代理机构和采购人研究后，对认为有必要回答的问题，将以书面解答形式通知所有招标文件收受人。 (任何口头答复均不作为投标依据)。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2.2.2在投标截止前，采购代理机构可能会对已发出的招标文件进行必要的澄清或者修改，澄清或者修改的内容为招标文件的组成部分。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2.2.3澄清或修改的内容可能影响投标文件编制的，采购人或者采购代理机构在投标截止时间至少15日前，在财政部门指定的政府采购信息发布媒体上发布更正公告，并以书面形式通知所有获取招标文件的潜在投标人；不足15日的，采购人或者采购代理机构将顺延提交投标文件的截止时间。</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2.2.4投标人在收到补充文件后，应在24小时内以书面形式向采购代理机构确认已收到该补充文件。逾期未确认视为已收到。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2.2.5当招标文件与补充文件就同一内容的表述不一致时，以最后发出的书面文件为准。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2.2.6任何口头答复均不属于招标文件的组成部分。</w:t>
      </w:r>
    </w:p>
    <w:p>
      <w:pPr>
        <w:pStyle w:val="5"/>
        <w:rPr>
          <w:rFonts w:cs="宋体" w:asciiTheme="minorEastAsia" w:hAnsiTheme="minorEastAsia" w:eastAsiaTheme="minorEastAsia"/>
          <w:color w:val="auto"/>
          <w:szCs w:val="21"/>
        </w:rPr>
      </w:pPr>
      <w:bookmarkStart w:id="55" w:name="_Toc1336"/>
      <w:r>
        <w:rPr>
          <w:rFonts w:hint="eastAsia" w:cs="宋体" w:asciiTheme="minorEastAsia" w:hAnsiTheme="minorEastAsia" w:eastAsiaTheme="minorEastAsia"/>
          <w:color w:val="auto"/>
          <w:szCs w:val="21"/>
        </w:rPr>
        <w:t>3投标文件</w:t>
      </w:r>
      <w:bookmarkEnd w:id="51"/>
      <w:bookmarkEnd w:id="52"/>
      <w:bookmarkEnd w:id="53"/>
      <w:bookmarkEnd w:id="54"/>
      <w:bookmarkEnd w:id="55"/>
    </w:p>
    <w:p>
      <w:pPr>
        <w:pStyle w:val="6"/>
        <w:rPr>
          <w:color w:val="auto"/>
        </w:rPr>
      </w:pPr>
      <w:bookmarkStart w:id="56" w:name="_Hlk8239818"/>
      <w:r>
        <w:rPr>
          <w:rFonts w:hint="eastAsia"/>
          <w:color w:val="auto"/>
        </w:rPr>
        <w:t>3.1投标文件的组成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投标文件由资格证明文件、报价文件、商务技术文件三部分组成。投标文件的组成和格式见本招标文件第五章。</w:t>
      </w:r>
    </w:p>
    <w:p>
      <w:pPr>
        <w:pStyle w:val="6"/>
        <w:rPr>
          <w:color w:val="auto"/>
        </w:rPr>
      </w:pPr>
      <w:r>
        <w:rPr>
          <w:rFonts w:hint="eastAsia"/>
          <w:color w:val="auto"/>
        </w:rPr>
        <w:t>3.2投标文件的编制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3.2.1投标人应仔细阅读招标文件中的所有内容，按照招标文件要求，详细编制投标文件，提供相关资格、商务资料和技术参数资料，对招标文件中的各个项目给予实质性答复，并保证投标文件的正确性和真实性，</w:t>
      </w:r>
      <w:r>
        <w:rPr>
          <w:rFonts w:hint="eastAsia" w:cs="宋体" w:asciiTheme="minorEastAsia" w:hAnsiTheme="minorEastAsia" w:eastAsiaTheme="minorEastAsia"/>
          <w:bCs/>
          <w:color w:val="auto"/>
          <w:szCs w:val="21"/>
        </w:rPr>
        <w:t>否则可能导致不利于对其投标的评定</w:t>
      </w:r>
      <w:r>
        <w:rPr>
          <w:rFonts w:hint="eastAsia" w:cs="宋体" w:asciiTheme="minorEastAsia" w:hAnsiTheme="minorEastAsia" w:eastAsiaTheme="minorEastAsia"/>
          <w:color w:val="auto"/>
          <w:szCs w:val="21"/>
        </w:rPr>
        <w:t>。投标文件统一采用汉语言文字，计量单位应使用中华人民共和国法定计量单位（文件中另有规定的除外）。</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3.2.2投标人应按照上述第3.</w:t>
      </w:r>
      <w:r>
        <w:rPr>
          <w:rFonts w:cs="宋体" w:asciiTheme="minorEastAsia" w:hAnsiTheme="minorEastAsia" w:eastAsiaTheme="minorEastAsia"/>
          <w:color w:val="auto"/>
          <w:szCs w:val="21"/>
        </w:rPr>
        <w:t>2.1</w:t>
      </w:r>
      <w:r>
        <w:rPr>
          <w:rFonts w:hint="eastAsia" w:cs="宋体" w:asciiTheme="minorEastAsia" w:hAnsiTheme="minorEastAsia" w:eastAsiaTheme="minorEastAsia"/>
          <w:color w:val="auto"/>
          <w:szCs w:val="21"/>
        </w:rPr>
        <w:t>条及投标人须知前附表中所提出的要求编写。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3.2.3投标文件应当对招标文件规定的实质性内容应当作出明确响应。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3.2.4投标文件的正本需打印或用不退色的墨水填写，并注明“正本”字样。副本可以为正本的复印件，并注明“副本”字样。当副本和正本不一致时，以正本为准。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3.2.5投标文件由投标人的法定代表人或其委托代理人签字（或盖章）、盖单位公章。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3.2.6投标文件份数要求详见“投标人须知前附表”。</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3.2.7投标文件编制、签署、盖章、装订及密封要求详见“投标人须知前附表”。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rPr>
        <w:t>3.2.8</w:t>
      </w:r>
      <w:r>
        <w:rPr>
          <w:rFonts w:hint="eastAsia" w:cs="宋体" w:asciiTheme="minorEastAsia" w:hAnsiTheme="minorEastAsia" w:eastAsiaTheme="minorEastAsia"/>
          <w:color w:val="auto"/>
          <w:szCs w:val="21"/>
        </w:rPr>
        <w:t>投标文件不得涂改和增删，若有错漏必须修改，修改处必须加盖投标人公章或者法定代表人或授权委托人签名或盖章。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3.2.9投标文件因字迹潦草或表达不清楚所引起的后果由投标人负责。</w:t>
      </w:r>
    </w:p>
    <w:bookmarkEnd w:id="56"/>
    <w:p>
      <w:pPr>
        <w:pStyle w:val="6"/>
        <w:rPr>
          <w:color w:val="auto"/>
        </w:rPr>
      </w:pPr>
      <w:r>
        <w:rPr>
          <w:rFonts w:hint="eastAsia"/>
          <w:color w:val="auto"/>
        </w:rPr>
        <w:t>3.3报价要求</w:t>
      </w:r>
    </w:p>
    <w:p>
      <w:pPr>
        <w:ind w:firstLine="420"/>
        <w:rPr>
          <w:rFonts w:cs="宋体" w:asciiTheme="minorEastAsia" w:hAnsiTheme="minorEastAsia" w:eastAsiaTheme="minorEastAsia"/>
          <w:b/>
          <w:color w:val="auto"/>
        </w:rPr>
      </w:pPr>
      <w:r>
        <w:rPr>
          <w:rFonts w:hint="eastAsia" w:cs="宋体" w:asciiTheme="minorEastAsia" w:hAnsiTheme="minorEastAsia" w:eastAsiaTheme="minorEastAsia"/>
          <w:color w:val="auto"/>
          <w:szCs w:val="21"/>
        </w:rPr>
        <w:t>3.3.1投标报价：</w:t>
      </w:r>
      <w:r>
        <w:rPr>
          <w:rFonts w:hint="eastAsia" w:asciiTheme="minorEastAsia" w:hAnsiTheme="minorEastAsia" w:eastAsiaTheme="minorEastAsia"/>
          <w:color w:val="auto"/>
          <w:szCs w:val="21"/>
        </w:rPr>
        <w:t>设备、软件、标准附件、备品备件、专用工具、图纸资料、技术服务，包装、仓储、装卸、运输，保险、税金，货到就位以及安装、调试，</w:t>
      </w:r>
      <w:r>
        <w:rPr>
          <w:rFonts w:hint="eastAsia" w:cs="宋体" w:asciiTheme="minorEastAsia" w:hAnsiTheme="minorEastAsia" w:eastAsiaTheme="minorEastAsia"/>
          <w:color w:val="auto"/>
          <w:szCs w:val="21"/>
        </w:rPr>
        <w:t>检验、检测，</w:t>
      </w:r>
      <w:r>
        <w:rPr>
          <w:rFonts w:hint="eastAsia" w:asciiTheme="minorEastAsia" w:hAnsiTheme="minorEastAsia" w:eastAsiaTheme="minorEastAsia"/>
          <w:color w:val="auto"/>
          <w:szCs w:val="21"/>
        </w:rPr>
        <w:t>培训、保修等</w:t>
      </w:r>
      <w:r>
        <w:rPr>
          <w:rFonts w:hint="eastAsia" w:cs="宋体" w:asciiTheme="minorEastAsia" w:hAnsiTheme="minorEastAsia" w:eastAsiaTheme="minorEastAsia"/>
          <w:color w:val="auto"/>
          <w:szCs w:val="21"/>
        </w:rPr>
        <w:t>通过验收直至交付使用单位，达到使用要求及质量标准、质保期服务所需的全部费用，以及招标代理服务费</w:t>
      </w:r>
      <w:r>
        <w:rPr>
          <w:rFonts w:hint="eastAsia" w:cs="宋体" w:asciiTheme="minorEastAsia" w:hAnsiTheme="minorEastAsia" w:eastAsiaTheme="minorEastAsia"/>
          <w:color w:val="auto"/>
          <w:szCs w:val="21"/>
          <w:lang w:eastAsia="zh-CN"/>
        </w:rPr>
        <w:t>、履约验收费用</w:t>
      </w:r>
      <w:r>
        <w:rPr>
          <w:rFonts w:hint="eastAsia" w:cs="宋体" w:asciiTheme="minorEastAsia" w:hAnsiTheme="minorEastAsia" w:eastAsiaTheme="minorEastAsia"/>
          <w:color w:val="auto"/>
          <w:szCs w:val="21"/>
        </w:rPr>
        <w:t>均包含在总价之中。</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投标人对所投标项的货物必须按采购数量全部进行报价。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每标项只允许有一个报价，不接受有选择报价的投标文件。</w:t>
      </w:r>
    </w:p>
    <w:p>
      <w:pPr>
        <w:ind w:firstLine="420"/>
        <w:rPr>
          <w:rFonts w:cs="宋体" w:asciiTheme="minorEastAsia" w:hAnsiTheme="minorEastAsia" w:eastAsiaTheme="minorEastAsia"/>
          <w:b/>
          <w:color w:val="auto"/>
          <w:szCs w:val="21"/>
        </w:rPr>
      </w:pPr>
      <w:r>
        <w:rPr>
          <w:rFonts w:hint="eastAsia" w:cs="宋体" w:asciiTheme="minorEastAsia" w:hAnsiTheme="minorEastAsia" w:eastAsiaTheme="minorEastAsia"/>
          <w:color w:val="auto"/>
          <w:szCs w:val="21"/>
        </w:rPr>
        <w:t>3.3.</w:t>
      </w:r>
      <w:r>
        <w:rPr>
          <w:rFonts w:cs="宋体" w:asciiTheme="minorEastAsia" w:hAnsiTheme="minorEastAsia" w:eastAsiaTheme="minorEastAsia"/>
          <w:color w:val="auto"/>
          <w:szCs w:val="21"/>
        </w:rPr>
        <w:t>4</w:t>
      </w:r>
      <w:r>
        <w:rPr>
          <w:rFonts w:hint="eastAsia" w:cs="宋体" w:asciiTheme="minorEastAsia" w:hAnsiTheme="minorEastAsia" w:eastAsiaTheme="minorEastAsia"/>
          <w:bCs/>
          <w:color w:val="auto"/>
          <w:szCs w:val="21"/>
        </w:rPr>
        <w:t>投标人的报价应按招标文件要求的格式、顺序编制。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3.3.</w:t>
      </w: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投标报价明细表应按不同费用类别分类填写，详见投标文件附件格式。</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6</w:t>
      </w:r>
      <w:r>
        <w:rPr>
          <w:rFonts w:hint="eastAsia" w:cs="宋体" w:asciiTheme="minorEastAsia" w:hAnsiTheme="minorEastAsia" w:eastAsiaTheme="minorEastAsia"/>
          <w:color w:val="auto"/>
          <w:szCs w:val="21"/>
        </w:rPr>
        <w:t>若所投产品为进口产品，该批货物可办理免税，投标报价应以免税价为投标价。中标人应积极配合采购人办理免税相关手续。</w:t>
      </w:r>
    </w:p>
    <w:p>
      <w:pPr>
        <w:pStyle w:val="6"/>
        <w:rPr>
          <w:color w:val="auto"/>
        </w:rPr>
      </w:pPr>
      <w:bookmarkStart w:id="57" w:name="_Toc82338233"/>
      <w:bookmarkStart w:id="58" w:name="_Toc450840079"/>
      <w:bookmarkStart w:id="59" w:name="_Toc82873316"/>
      <w:r>
        <w:rPr>
          <w:rFonts w:hint="eastAsia"/>
          <w:color w:val="auto"/>
        </w:rPr>
        <w:t>3.4投标有效期</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3.4.1投标有效期见投标人须知前附表。投标有效期内，投标文件应保持有效。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3.4.2在特殊情况下，采购人可与投标人协商延长投标有效期，这种要求和答复均应以书面形式进行。同意延长有效期的投标人不能修改投标文件。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3.4.3投标人可拒绝接受延期。</w:t>
      </w:r>
    </w:p>
    <w:p>
      <w:pPr>
        <w:pStyle w:val="5"/>
        <w:rPr>
          <w:rFonts w:cs="宋体" w:asciiTheme="minorEastAsia" w:hAnsiTheme="minorEastAsia" w:eastAsiaTheme="minorEastAsia"/>
          <w:color w:val="auto"/>
          <w:szCs w:val="21"/>
        </w:rPr>
      </w:pPr>
      <w:bookmarkStart w:id="60" w:name="_Toc82873325"/>
      <w:bookmarkStart w:id="61" w:name="_Toc6227648"/>
      <w:bookmarkStart w:id="62" w:name="_Toc450840076"/>
      <w:bookmarkStart w:id="63" w:name="_Toc82338242"/>
      <w:bookmarkStart w:id="64" w:name="_Toc5519"/>
      <w:r>
        <w:rPr>
          <w:rFonts w:hint="eastAsia" w:cs="宋体" w:asciiTheme="minorEastAsia" w:hAnsiTheme="minorEastAsia" w:eastAsiaTheme="minorEastAsia"/>
          <w:color w:val="auto"/>
          <w:szCs w:val="21"/>
        </w:rPr>
        <w:t>4投标文件的提交</w:t>
      </w:r>
      <w:bookmarkEnd w:id="60"/>
      <w:bookmarkEnd w:id="61"/>
      <w:bookmarkEnd w:id="62"/>
      <w:bookmarkEnd w:id="63"/>
      <w:bookmarkEnd w:id="64"/>
    </w:p>
    <w:p>
      <w:pPr>
        <w:pStyle w:val="6"/>
        <w:rPr>
          <w:color w:val="auto"/>
        </w:rPr>
      </w:pPr>
      <w:r>
        <w:rPr>
          <w:rFonts w:hint="eastAsia"/>
          <w:color w:val="auto"/>
        </w:rPr>
        <w:t>4.1投标文件的标记、装订及密封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4.1.1见投标人须知前附表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4.1.2如果投标人未按上述要求密封及加写标记，采购人对投标文件的误投和提前启封不负责任。</w:t>
      </w:r>
    </w:p>
    <w:p>
      <w:pPr>
        <w:pStyle w:val="6"/>
        <w:rPr>
          <w:color w:val="auto"/>
        </w:rPr>
      </w:pPr>
      <w:bookmarkStart w:id="65" w:name="_Hlk8240030"/>
      <w:r>
        <w:rPr>
          <w:rFonts w:hint="eastAsia"/>
          <w:color w:val="auto"/>
        </w:rPr>
        <w:t>4.2投标截止时间及截止时间的变更</w:t>
      </w:r>
    </w:p>
    <w:p>
      <w:pPr>
        <w:ind w:firstLine="420"/>
        <w:rPr>
          <w:rFonts w:asciiTheme="minorEastAsia" w:hAnsiTheme="minorEastAsia" w:eastAsiaTheme="minorEastAsia"/>
          <w:bCs/>
          <w:color w:val="auto"/>
        </w:rPr>
      </w:pPr>
      <w:r>
        <w:rPr>
          <w:rFonts w:hint="eastAsia" w:asciiTheme="minorEastAsia" w:hAnsiTheme="minorEastAsia" w:eastAsiaTheme="minorEastAsia"/>
          <w:bCs/>
          <w:color w:val="auto"/>
        </w:rPr>
        <w:t>4.2.1投标文件必须在规定的提交截止时间前（见投标人须知前附表）送达指定的投标文件提交地点，逾期送达的，采购代理机构将拒收其投标文件。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4.2.2采购人如因故推迟投标截止时间，将在投标截止时间前3天以书面形式通知所有投标人，同时在招标公告同媒体公告。投标人在收到通知后，应在24小时内以书面形式向采购代理机构确认已收到该通知，逾期未确认视为已收到通知。在此情况下，采购人和投标人的权利和义务将受到新的截止时间的约束。</w:t>
      </w:r>
    </w:p>
    <w:bookmarkEnd w:id="65"/>
    <w:p>
      <w:pPr>
        <w:pStyle w:val="6"/>
        <w:rPr>
          <w:color w:val="auto"/>
        </w:rPr>
      </w:pPr>
      <w:r>
        <w:rPr>
          <w:rFonts w:hint="eastAsia"/>
          <w:color w:val="auto"/>
        </w:rPr>
        <w:t>4.3投标文件的修改和撤回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4.3.1投标人递交投标文件以后，在规定的投标截止时间之前，可以书面形式对投标文件进行补充、修改，修改文件须加盖单位公章，并由法定代表人或授权委托人签字或盖章，在投标截止时间以后，不得修改、补充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4.3.2投标人的修改文件，应按本须知规定编制、密封、标志和递交（在密封物上标明修改字样），如果一份投标文件有几份函件时，应注明哪一份有效，否则所作修改视为无效。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4.3.3投标修改文件必须密封，在密封袋上写明项目编号、项目名称、投标人名称、并注明“修改文件”、“开标时启封”字样。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4.3.4</w:t>
      </w:r>
      <w:bookmarkStart w:id="66" w:name="_Hlk8240140"/>
      <w:r>
        <w:rPr>
          <w:rFonts w:hint="eastAsia" w:cs="宋体" w:asciiTheme="minorEastAsia" w:hAnsiTheme="minorEastAsia" w:eastAsiaTheme="minorEastAsia"/>
          <w:color w:val="auto"/>
          <w:szCs w:val="21"/>
        </w:rPr>
        <w:t>投标截止时间之前，</w:t>
      </w:r>
      <w:bookmarkEnd w:id="66"/>
      <w:r>
        <w:rPr>
          <w:rFonts w:hint="eastAsia" w:cs="宋体" w:asciiTheme="minorEastAsia" w:hAnsiTheme="minorEastAsia" w:eastAsiaTheme="minorEastAsia"/>
          <w:color w:val="auto"/>
          <w:szCs w:val="21"/>
        </w:rPr>
        <w:t>投标人以传真形式通知采购人撤回投标时，必须随后补充有法定代表人或法定代表人授权委托人签署的正式文件。</w:t>
      </w:r>
    </w:p>
    <w:p>
      <w:pPr>
        <w:pStyle w:val="6"/>
        <w:rPr>
          <w:color w:val="auto"/>
        </w:rPr>
      </w:pPr>
      <w:r>
        <w:rPr>
          <w:rFonts w:hint="eastAsia"/>
          <w:color w:val="auto"/>
        </w:rPr>
        <w:t>4.4投标文件的澄清与修正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4.4.1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4.4.2投标文件报价出现前后不一致的，除招标文件另有规定外，按照下列规定修正：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（一）投标文件中开标一览表（报价表）内容与投标文件中相应内容不一致的，以开标一览表（报价表）为准；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（二）大写金额和小写金额不一致的，以大写金额为准；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（三）单价金额小数点或者百分比有明显错位的，以开标一览表的总价为准，并修改单价；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（四）总价金额与按单价汇总金额不一致的，以单价金额计算结果为准。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同时出现两种以上不一致的，按照前款规定的顺序修正。由投标人采用书面形式修正报价，并加盖公章，或者由法定代表人或其授权的代表签字确认。经投标人确认后产生约束力，投标人不确认的，其投标无效。</w:t>
      </w:r>
    </w:p>
    <w:p>
      <w:pPr>
        <w:pStyle w:val="5"/>
        <w:rPr>
          <w:rFonts w:cs="宋体" w:asciiTheme="minorEastAsia" w:hAnsiTheme="minorEastAsia" w:eastAsiaTheme="minorEastAsia"/>
          <w:color w:val="auto"/>
          <w:szCs w:val="21"/>
        </w:rPr>
      </w:pPr>
      <w:bookmarkStart w:id="67" w:name="_Toc82338243"/>
      <w:bookmarkStart w:id="68" w:name="_Toc82873326"/>
      <w:bookmarkStart w:id="69" w:name="_Toc2078365"/>
      <w:bookmarkStart w:id="70" w:name="_Toc6227649"/>
      <w:bookmarkStart w:id="71" w:name="_Toc450840077"/>
      <w:bookmarkStart w:id="72" w:name="_Toc482006357"/>
      <w:bookmarkStart w:id="73" w:name="_Toc30055"/>
      <w:r>
        <w:rPr>
          <w:rFonts w:hint="eastAsia" w:cs="宋体" w:asciiTheme="minorEastAsia" w:hAnsiTheme="minorEastAsia" w:eastAsiaTheme="minorEastAsia"/>
          <w:color w:val="auto"/>
          <w:szCs w:val="21"/>
        </w:rPr>
        <w:t>5开标、评</w:t>
      </w:r>
      <w:bookmarkEnd w:id="67"/>
      <w:bookmarkEnd w:id="68"/>
      <w:r>
        <w:rPr>
          <w:rFonts w:hint="eastAsia" w:cs="宋体" w:asciiTheme="minorEastAsia" w:hAnsiTheme="minorEastAsia" w:eastAsiaTheme="minorEastAsia"/>
          <w:color w:val="auto"/>
          <w:szCs w:val="21"/>
        </w:rPr>
        <w:t>标及</w:t>
      </w:r>
      <w:bookmarkEnd w:id="69"/>
      <w:bookmarkEnd w:id="70"/>
      <w:bookmarkEnd w:id="71"/>
      <w:bookmarkEnd w:id="72"/>
      <w:r>
        <w:rPr>
          <w:rFonts w:hint="eastAsia" w:cs="宋体" w:asciiTheme="minorEastAsia" w:hAnsiTheme="minorEastAsia" w:eastAsiaTheme="minorEastAsia"/>
          <w:color w:val="auto"/>
          <w:szCs w:val="21"/>
        </w:rPr>
        <w:t>定标</w:t>
      </w:r>
      <w:bookmarkEnd w:id="73"/>
    </w:p>
    <w:p>
      <w:pPr>
        <w:pStyle w:val="6"/>
        <w:rPr>
          <w:color w:val="auto"/>
        </w:rPr>
      </w:pPr>
      <w:r>
        <w:rPr>
          <w:rFonts w:hint="eastAsia"/>
          <w:color w:val="auto"/>
        </w:rPr>
        <w:t>5.1开标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（1）采购代理机构工作人员开启开标场地的录音录像采集设备，并确保其正常运行。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人法定代表人或授权委托人出席开标会的应签名报到，以证明其出席开标会议，且随身携带身份证原件(或采购人认可的其他身份证明)、法定代表人授权委托书（如密封在标书里，开标时查验符合要求也可以）。（供应商代表因故未参加开标、评审活动或拒绝签字确认的，不影响开标、评审程序继续进行，事后不得要求补办相关现场确认手续，也不得要求相关工作人员还原或重复履行相关工作义务，但被确定为中标（成交）供应商的，应补签《政府采购活动现场确认声明书》。投标人未参加开标的，视同认可开标结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（3）投标人或者其推选的代表检查投标文件的密封情况。对现场接收投标文件的，由现场工作人员按规定接收投标文件并登记，请投标人代表对投标文件的递交记录情况进行签字确认。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（4）主持人宣布开标，介绍开标现场的人员情况，宣读递交投标文件的投标人名单、开标纪律、应当回避的情形等注意事项，组织投标人签署不存在影响公平竞争的《政府采购活动现场确认声明书》。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（5）清点投标文件（包括正本、副本）数量，将其中密封的报价文件（含开标&lt;报价&gt;一览表、报价明细表等，下同）现场集中封存保管等候拆封。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（6）采购人代表和采购代理机构工作人员对投标人资格证明文件进行查验、核实。资格审查不通过的，不再进行商务技术文件、报价文件的评审。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（7）对资格审查通过的商务技术文件由现场工作人员护送至指定的评标地点，由评标委员会进行评标。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商务和技术评审结束后，主持人宣告商务和技术评审无效供应商名称及理由，供应商代表可收回未拆封的报价文件并签字确认；公布经商务和技术评审符合采购需求的供应商名单，采用综合评分法的，应同时公布其商务和技术总得分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拆封投标人报价文件，宣读开标一览表有关内容，制作并打印开标记录表，由投标人代表、唱标人、记录人和现场监督员在开标记录表上签字确认（不予确认的应说明理由，否则视为无异议）。唱标结束后，现场工作人员将报价文件及开标记录表护送至指定评标地点，由评标委员会对报价的符合性、合理性、准确性等进行审查核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（10）评标结束后，主持人公布投标人的资信和技术及报价的评审总得分与排序。</w:t>
      </w:r>
    </w:p>
    <w:p>
      <w:pPr>
        <w:pStyle w:val="6"/>
        <w:rPr>
          <w:color w:val="auto"/>
        </w:rPr>
      </w:pPr>
      <w:r>
        <w:rPr>
          <w:rFonts w:hint="eastAsia"/>
          <w:color w:val="auto"/>
        </w:rPr>
        <w:t>5.2投标人不足三家情况处理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投标截止时间结束后或评标过程中参加标项投标的投标人不足三家的，除采购任务取消情形外，采购人可选择以下方式之一处理：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（1）将本标项作废标处理，重新组织采购；</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（2）根据财政部门的审批意见采用其他采购方式组织采购。</w:t>
      </w:r>
    </w:p>
    <w:p>
      <w:pPr>
        <w:pStyle w:val="6"/>
        <w:rPr>
          <w:color w:val="auto"/>
        </w:rPr>
      </w:pPr>
      <w:r>
        <w:rPr>
          <w:rFonts w:hint="eastAsia"/>
          <w:color w:val="auto"/>
        </w:rPr>
        <w:t>5.3审查内容</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5.3.1投标文件资格性审查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对投标文件的判定，只依据投标内容本身，不依靠开标后的任何外来证明。如投标人提交的资质证明或其他内容不齐全，由此造成的后果由投标人自己负责。</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5.3.2投标文件符合性审查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应当对通过资格审查的投标人的投标文件进行符合性审查，以确定其是否满足招标文件的实质性要求。如果投标文件不响应招标文件的实质性要求，评标委员会将予以拒绝，并且不允许通过修正或撤消不符合要求的差异或保留，使之成为实质性响应性的投标文件。</w:t>
      </w:r>
    </w:p>
    <w:p>
      <w:pPr>
        <w:pStyle w:val="6"/>
        <w:rPr>
          <w:color w:val="auto"/>
        </w:rPr>
      </w:pPr>
      <w:r>
        <w:rPr>
          <w:rFonts w:hint="eastAsia"/>
          <w:color w:val="auto"/>
        </w:rPr>
        <w:t>5.4评标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5.4.1评标原则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必须公平、公正、客观、独立、审慎地按照招标文件的规定、依法依规依程序进行评标，不受任何倾向性和引导性言行的影响；不得向外界透露任何与评标有关的内容；任何单位和个人不得非法干扰、影响评标委员会的评标工作；评标委员会及有关工作人员不得私下与投标人接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5.4.2评标组织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5.4.2.1评标工作由采购人或采购代理机构组建的评标委员会负责。评标委员会由采购人代表和评审专家组成，成员人数应当为5人以上单数，其中评审专家不得少于成员总数的三分之二。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5.4.2.2评标委员会在成员之中（除采购人代表）可推荐一名组长，主持评标工作，集各成员意见，使整个评标工作有序有效地进行。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5.4.3评标纪律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5.4.3.1开标、评标过程由监督人全过程监督，整个评标过程应严格保密，评标委员会成员及工作人员应严格遵守纪律，不得泄露任何评标信息。</w:t>
      </w:r>
    </w:p>
    <w:p>
      <w:pPr>
        <w:ind w:firstLine="415" w:firstLineChars="198"/>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5.4.3.2评标委员会应遵循公平、公正、科学、择优的原则，</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各投标文件的有效性、合规性、符合性、完整性和响应程度进行审查、比较和评估，确定是否对招标文件作出实质性响应。如属于实质性负偏离或符合无效投标情形的，应当询问投标人代表，并允许投标人代表进行陈述申辩、但不允许其对实质性偏离条款进行补充、修正和撤回。</w:t>
      </w:r>
      <w:r>
        <w:rPr>
          <w:rFonts w:hint="eastAsia" w:asciiTheme="minorEastAsia" w:hAnsiTheme="minorEastAsia" w:eastAsiaTheme="minorEastAsia"/>
          <w:color w:val="auto"/>
          <w:szCs w:val="21"/>
        </w:rPr>
        <w:t>招标文件及其评标办法没有规定的方法、评审因素、标准和程序，不得作为评标依据。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5.4.3.3评标委员会对投标文件的判定，只依据投标文件内容本身，不依靠开标后的任何外来证明。</w:t>
      </w:r>
    </w:p>
    <w:p>
      <w:pPr>
        <w:pStyle w:val="6"/>
        <w:rPr>
          <w:color w:val="auto"/>
        </w:rPr>
      </w:pPr>
      <w:r>
        <w:rPr>
          <w:rFonts w:hint="eastAsia"/>
          <w:color w:val="auto"/>
        </w:rPr>
        <w:t>5.5评标流程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对通过资格审查的投标文件，由评标委员会进行评标，流程是：</w:t>
      </w:r>
    </w:p>
    <w:p>
      <w:pPr>
        <w:ind w:firstLine="420"/>
        <w:rPr>
          <w:rFonts w:cs="宋体" w:asciiTheme="minorEastAsia" w:hAnsiTheme="minorEastAsia" w:eastAsiaTheme="minorEastAsia"/>
          <w:color w:val="auto"/>
          <w:szCs w:val="21"/>
        </w:rPr>
      </w:pPr>
      <w:bookmarkStart w:id="74" w:name="_Hlk7904078"/>
      <w:r>
        <w:rPr>
          <w:rFonts w:hint="eastAsia" w:cs="宋体" w:asciiTheme="minorEastAsia" w:hAnsiTheme="minorEastAsia" w:eastAsiaTheme="minorEastAsia"/>
          <w:color w:val="auto"/>
          <w:szCs w:val="21"/>
        </w:rPr>
        <w:t>评标委员会推荐组长—符合性审查—资信部分评审打分—商务、技术部分评审打分—公布资信、技术总得分—公开唱投标报价—报价文件审查、计算报价得分—编写评标报告，并签署—宣布评标结果。</w:t>
      </w:r>
      <w:bookmarkEnd w:id="74"/>
    </w:p>
    <w:p>
      <w:pPr>
        <w:pStyle w:val="6"/>
        <w:rPr>
          <w:color w:val="auto"/>
        </w:rPr>
      </w:pPr>
      <w:r>
        <w:rPr>
          <w:rFonts w:hint="eastAsia"/>
          <w:color w:val="auto"/>
        </w:rPr>
        <w:t>5.6评标报告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评标结束后，评标委员会应当向采购人提交评标报告。</w:t>
      </w:r>
    </w:p>
    <w:p>
      <w:pPr>
        <w:pStyle w:val="6"/>
        <w:rPr>
          <w:color w:val="auto"/>
        </w:rPr>
      </w:pPr>
      <w:r>
        <w:rPr>
          <w:rFonts w:hint="eastAsia"/>
          <w:color w:val="auto"/>
        </w:rPr>
        <w:t>5.7开标评标过程的监控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开标评标过程实行全程录音录像。</w:t>
      </w:r>
    </w:p>
    <w:p>
      <w:pPr>
        <w:pStyle w:val="6"/>
        <w:rPr>
          <w:color w:val="auto"/>
        </w:rPr>
      </w:pPr>
      <w:r>
        <w:rPr>
          <w:rFonts w:hint="eastAsia"/>
          <w:color w:val="auto"/>
        </w:rPr>
        <w:t>5.8评标过程保密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5.8.1评标过程中凡是与投标文件评标和比较、中标成交投标人推荐等评标有关的情况，以及涉及国家秘密和商业秘密等信息，评标委员会成员、采购人和采购代理机构工作人员、相关监督人员等与评标有关的人员应当予以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5.8.2在评标期间，投标人企图影响采购人、采购代理机构、评标委员会及其成员的任何违法违规活动，将导致投标被拒绝，并承担相应的法律责任。</w:t>
      </w:r>
    </w:p>
    <w:p>
      <w:pPr>
        <w:pStyle w:val="6"/>
        <w:rPr>
          <w:color w:val="auto"/>
        </w:rPr>
      </w:pPr>
      <w:r>
        <w:rPr>
          <w:rFonts w:hint="eastAsia"/>
          <w:color w:val="auto"/>
        </w:rPr>
        <w:t>5.9中标条件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5.9.1通过资格审查的。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5.9.2投标文件完全响应招标文件中的实质性要求。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5.9.3有良好的合同执行能力和售后服务承诺。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5.9.4采购人将把中标通知书授予经评标委员会评审综合评分第一的中标候选人</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bCs/>
          <w:color w:val="auto"/>
          <w:szCs w:val="21"/>
        </w:rPr>
        <w:t>最低报价并不是中标的保证。</w:t>
      </w:r>
    </w:p>
    <w:p>
      <w:pPr>
        <w:pStyle w:val="6"/>
        <w:rPr>
          <w:color w:val="auto"/>
        </w:rPr>
      </w:pPr>
      <w:r>
        <w:rPr>
          <w:rFonts w:hint="eastAsia"/>
          <w:color w:val="auto"/>
        </w:rPr>
        <w:t>5.10定标办法</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5.10.1定标由采购人授权评标委员会确定，原则上应确定通过资格审查、符合性审查且综合得分排名第一的中标候选人为中标人。但按照相关政策法规规定，如出现下列情况之一的，采购人可以确定排名第二的候选人为中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（1）排名第一的候选投标人，因自身原因放弃中标成交或因不可抗力不能履行合同的；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（2）经质疑，采购组织机构审查确认因排名第一的候选投标人在本次采购活动中存在违法违规行为或其他原因使质疑成立的。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5.10.2采购人在确定第二中标候选人为中标人的，应当在确定前向财政部门报告说明。</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不得通过对样品进行检测、对投标人进行考察等方式改变评标结果。</w:t>
      </w:r>
    </w:p>
    <w:p>
      <w:pPr>
        <w:pStyle w:val="6"/>
        <w:rPr>
          <w:color w:val="auto"/>
        </w:rPr>
      </w:pPr>
      <w:r>
        <w:rPr>
          <w:rFonts w:hint="eastAsia"/>
          <w:color w:val="auto"/>
        </w:rPr>
        <w:t>5.11落标解释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采购人、采购代理机构及评标委员会对未成交的投标人不作落标原因解释。</w:t>
      </w:r>
    </w:p>
    <w:p>
      <w:pPr>
        <w:pStyle w:val="6"/>
        <w:rPr>
          <w:color w:val="auto"/>
        </w:rPr>
      </w:pPr>
      <w:r>
        <w:rPr>
          <w:rFonts w:hint="eastAsia"/>
          <w:color w:val="auto"/>
        </w:rPr>
        <w:t>5.12中标公告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5.12.1</w:t>
      </w:r>
      <w:r>
        <w:rPr>
          <w:rFonts w:hint="eastAsia" w:asciiTheme="minorEastAsia" w:hAnsiTheme="minorEastAsia" w:eastAsiaTheme="minorEastAsia"/>
          <w:color w:val="auto"/>
          <w:szCs w:val="21"/>
        </w:rPr>
        <w:t>定标后</w:t>
      </w:r>
      <w:r>
        <w:rPr>
          <w:rFonts w:hint="eastAsia" w:cs="宋体" w:asciiTheme="minorEastAsia" w:hAnsiTheme="minorEastAsia" w:eastAsiaTheme="minorEastAsia"/>
          <w:color w:val="auto"/>
          <w:szCs w:val="21"/>
        </w:rPr>
        <w:t>，由采购代理机构在浙江政府采购网公布中标结果，同日，由采购代理机构发出中标通知书。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5.12.2公告期限为1个工作日。</w:t>
      </w:r>
    </w:p>
    <w:p>
      <w:pPr>
        <w:pStyle w:val="6"/>
        <w:rPr>
          <w:color w:val="auto"/>
        </w:rPr>
      </w:pPr>
      <w:r>
        <w:rPr>
          <w:rFonts w:hint="eastAsia"/>
          <w:color w:val="auto"/>
        </w:rPr>
        <w:t>5.13签订合同</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5.13.1中标人应在接到中标通知书后按中标通知书规定的时间内（不超过30日）与采购人签订合同</w:t>
      </w:r>
      <w:r>
        <w:rPr>
          <w:rFonts w:hint="eastAsia" w:cs="宋体" w:asciiTheme="minorEastAsia" w:hAnsiTheme="minorEastAsia" w:eastAsiaTheme="minorEastAsia"/>
          <w:bCs/>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5.13.2招标文件、中标人的投标文件及投标修改文件、评标过程中有关澄清文件、询标纪要和中标通知书均作为合同组成部分。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5.13.3拒签合同的责任：除不可抗力等因素外，中标人无正当理由拒不与采购人签订政府采购合同的，应当承担相应的法律责任。</w:t>
      </w:r>
    </w:p>
    <w:p>
      <w:pPr>
        <w:pStyle w:val="6"/>
        <w:rPr>
          <w:color w:val="auto"/>
        </w:rPr>
      </w:pPr>
      <w:r>
        <w:rPr>
          <w:rFonts w:hint="eastAsia"/>
          <w:color w:val="auto"/>
        </w:rPr>
        <w:t>5.14关于要求原厂商授权的说明</w:t>
      </w:r>
    </w:p>
    <w:p>
      <w:pPr>
        <w:pStyle w:val="2"/>
        <w:spacing w:after="0" w:line="360" w:lineRule="auto"/>
        <w:ind w:firstLineChars="200"/>
        <w:rPr>
          <w:rFonts w:asciiTheme="minorEastAsia" w:hAnsiTheme="minorEastAsia" w:eastAsiaTheme="minorEastAsia"/>
          <w:color w:val="auto"/>
        </w:rPr>
      </w:pPr>
      <w:r>
        <w:rPr>
          <w:rFonts w:hint="eastAsia" w:cs="宋体" w:asciiTheme="minorEastAsia" w:hAnsiTheme="minorEastAsia" w:eastAsiaTheme="minorEastAsia"/>
          <w:color w:val="auto"/>
          <w:szCs w:val="21"/>
        </w:rPr>
        <w:t>招标文件中如有要求投标人提供原厂商授权的，建议投标人在提交投标文件时一并提供。也可在中标成交结果公告后向采购人提供。如原厂商无故不予授权，在中标人作出保证产品质量和售后服务的承诺后，可以不需该授权文件将合同授予该投标人，但对此应在合同的验收、结算和违约责任中补充增加相应的制约性条款。</w:t>
      </w:r>
    </w:p>
    <w:p>
      <w:pPr>
        <w:pStyle w:val="5"/>
        <w:rPr>
          <w:rFonts w:cs="宋体" w:asciiTheme="minorEastAsia" w:hAnsiTheme="minorEastAsia" w:eastAsiaTheme="minorEastAsia"/>
          <w:color w:val="auto"/>
          <w:szCs w:val="21"/>
        </w:rPr>
      </w:pPr>
      <w:bookmarkStart w:id="75" w:name="_Toc450840078"/>
      <w:bookmarkStart w:id="76" w:name="_Toc12983"/>
      <w:bookmarkStart w:id="77" w:name="_Toc444084291"/>
      <w:bookmarkStart w:id="78" w:name="_Toc2078366"/>
      <w:bookmarkStart w:id="79" w:name="_Toc6227650"/>
      <w:bookmarkStart w:id="80" w:name="_Toc439316483"/>
      <w:r>
        <w:rPr>
          <w:rFonts w:hint="eastAsia" w:cs="宋体" w:asciiTheme="minorEastAsia" w:hAnsiTheme="minorEastAsia" w:eastAsiaTheme="minorEastAsia"/>
          <w:color w:val="auto"/>
          <w:szCs w:val="21"/>
        </w:rPr>
        <w:t>6其他</w:t>
      </w:r>
      <w:bookmarkEnd w:id="75"/>
      <w:bookmarkEnd w:id="76"/>
      <w:bookmarkEnd w:id="77"/>
      <w:bookmarkEnd w:id="78"/>
      <w:bookmarkEnd w:id="79"/>
      <w:bookmarkEnd w:id="80"/>
    </w:p>
    <w:p>
      <w:pPr>
        <w:pStyle w:val="6"/>
        <w:rPr>
          <w:color w:val="auto"/>
        </w:rPr>
      </w:pPr>
      <w:r>
        <w:rPr>
          <w:rFonts w:hint="eastAsia"/>
          <w:color w:val="auto"/>
        </w:rPr>
        <w:t>6.1合同履约考核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自行或委托第三方对中标人进行履行合同考核和验收，发现弄虚作假，偷工减料，以次充好，降低配置、达不到国家、行业有关标准、招标文件相关规定及投标文件有关承诺的，一经查实，将提请采购人不退还履约保证金，终止合同，并上报同级财政部门依法处理，给予网上通报，禁止其在1至3年内参与政府采购活动，给采购人造成损失的，中标人须承担相应的法律责任。</w:t>
      </w:r>
    </w:p>
    <w:p>
      <w:pPr>
        <w:pStyle w:val="6"/>
        <w:rPr>
          <w:color w:val="auto"/>
        </w:rPr>
      </w:pPr>
      <w:r>
        <w:rPr>
          <w:rFonts w:hint="eastAsia"/>
          <w:color w:val="auto"/>
        </w:rPr>
        <w:t>6.2质疑</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6.2.1</w:t>
      </w:r>
      <w:r>
        <w:rPr>
          <w:rFonts w:hint="eastAsia" w:cs="宋体" w:asciiTheme="minorEastAsia" w:hAnsiTheme="minorEastAsia" w:eastAsiaTheme="minorEastAsia"/>
          <w:color w:val="auto"/>
          <w:kern w:val="0"/>
          <w:szCs w:val="21"/>
        </w:rPr>
        <w:t>根据《政府采购质疑和投诉办法》（财政部令第94号）的规定，</w:t>
      </w:r>
      <w:r>
        <w:rPr>
          <w:rFonts w:hint="eastAsia" w:cs="宋体" w:asciiTheme="minorEastAsia" w:hAnsiTheme="minorEastAsia" w:eastAsiaTheme="minorEastAsia"/>
          <w:color w:val="auto"/>
          <w:szCs w:val="21"/>
        </w:rPr>
        <w:t>投标人认为招标文件、招标过程和中标、成交结果使自己的权益受到损害的，可以在知道或者应知其权益受到损害之日起7个工作日内，以书面形式向采购代理机构提出质疑，投标人应当在法定质疑期内一次性提出针对同一采购程序环节的质疑。上述投标人应知其权益受到损害之日，是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（1）对可以质疑的招标文件提出质疑的，为收到招标文件之日或者招标文件公告期限届满之日；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（2）对采购过程提出质疑的，为各采购程序环节结束之日；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（3）对中标或者成交结果提出质疑的，为中标或者成交结果公告期限届满之日。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6.2.2提出质疑的投标人（以下简称质疑投标人）应当是参与所质疑项目采购活动的投标人。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6.2.3投标人为自然人的，应当由本人签字；投标人为法人或者其他组织的，应当由法定代表人、主要负责人，或者其授权代表签字或者盖章，并加盖公章。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以联合体形式参加政府采购活动的，其投诉应当由组成联合体的所有投标人共同提出。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6.2.4投标人提交的质疑书需一式三份，质疑书至少应包括下列主要内容：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（一）投标人的姓名或者名称、地址、邮编、联系人及联系电话；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（二）质疑项目的名称、编号；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（三）具体、明确的质疑事项和与质疑事项相关的请求；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（四）事实依据；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（五）必要的法律依据；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（六）提出质疑的日期。</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rPr>
        <w:t>6.2.5</w:t>
      </w:r>
      <w:r>
        <w:rPr>
          <w:rFonts w:hint="eastAsia" w:cs="宋体" w:asciiTheme="minorEastAsia" w:hAnsiTheme="minorEastAsia" w:eastAsiaTheme="minorEastAsia"/>
          <w:color w:val="auto"/>
          <w:szCs w:val="21"/>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pPr>
        <w:pStyle w:val="6"/>
        <w:rPr>
          <w:color w:val="auto"/>
        </w:rPr>
      </w:pPr>
      <w:r>
        <w:rPr>
          <w:rFonts w:hint="eastAsia"/>
          <w:color w:val="auto"/>
        </w:rPr>
        <w:t>6.3投诉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6.3.1质疑投标人对采购人、采购代理机构的答复不满意，或者采购人、采购代理机构未在规定时间内作出答复的，可以在答复期满后15个工作日内向《政府采购质疑和投诉办法》（</w:t>
      </w:r>
      <w:r>
        <w:rPr>
          <w:rFonts w:hint="eastAsia" w:cs="宋体" w:asciiTheme="minorEastAsia" w:hAnsiTheme="minorEastAsia" w:eastAsiaTheme="minorEastAsia"/>
          <w:color w:val="auto"/>
          <w:kern w:val="0"/>
          <w:szCs w:val="21"/>
        </w:rPr>
        <w:t>财政部令第94号</w:t>
      </w:r>
      <w:r>
        <w:rPr>
          <w:rFonts w:hint="eastAsia" w:cs="宋体" w:asciiTheme="minorEastAsia" w:hAnsiTheme="minorEastAsia" w:eastAsiaTheme="minorEastAsia"/>
          <w:color w:val="auto"/>
          <w:szCs w:val="21"/>
          <w:shd w:val="clear" w:color="auto" w:fill="FFFFFF"/>
        </w:rPr>
        <w:t>）第六条规定的财政部门提起投诉。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6.3.2投标人投诉的事项不得超出已质疑事项的范围，但基于质疑答复内容提出的投诉事项除外。</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6.3.3投诉人提起投诉应当符合下列条件：</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（一）提起投诉前已依法进行质疑；</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（二）投诉书内容符合本办法的规定；</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（三）在投诉有效期限内提起投诉；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（四）同一投诉事项未经财政部门投诉处理；</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（五）财政部规定的其他条件。</w:t>
      </w:r>
    </w:p>
    <w:p>
      <w:pPr>
        <w:ind w:firstLine="422"/>
        <w:rPr>
          <w:rFonts w:cs="宋体" w:asciiTheme="minorEastAsia" w:hAnsiTheme="minorEastAsia" w:eastAsiaTheme="minorEastAsia"/>
          <w:b/>
          <w:color w:val="auto"/>
          <w:szCs w:val="21"/>
          <w:shd w:val="clear" w:color="auto" w:fill="FFFFFF"/>
        </w:rPr>
      </w:pPr>
      <w:r>
        <w:rPr>
          <w:rFonts w:hint="eastAsia" w:cs="宋体" w:asciiTheme="minorEastAsia" w:hAnsiTheme="minorEastAsia" w:eastAsiaTheme="minorEastAsia"/>
          <w:b/>
          <w:color w:val="auto"/>
          <w:szCs w:val="21"/>
          <w:shd w:val="clear" w:color="auto" w:fill="FFFFFF"/>
        </w:rPr>
        <w:t>6.3.4投诉人在全国范围12个月内三次以上投诉查无实据的，由财政部门列入不良行为记录名单。</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6.3.5投诉人有下列行为之一的，属于虚假、恶意投诉，由财政部门列入不良行为记录名单，禁止其1至3年内参加政府采购活动：</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（一）捏造事实；</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（二）提供虚假材料；</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（三）以非法手段取得证明材料。证据来源的合法性存在明显疑问，投诉人无法证明其取得方式合法的，视为以非法手段取得证明材料。</w:t>
      </w:r>
    </w:p>
    <w:p>
      <w:pPr>
        <w:ind w:firstLine="420"/>
        <w:rPr>
          <w:rFonts w:cs="宋体" w:asciiTheme="minorEastAsia" w:hAnsiTheme="minorEastAsia" w:eastAsiaTheme="minorEastAsia"/>
          <w:color w:val="auto"/>
          <w:szCs w:val="21"/>
          <w:shd w:val="clear" w:color="auto" w:fill="FFFFFF"/>
        </w:rPr>
        <w:sectPr>
          <w:footerReference r:id="rId14" w:type="default"/>
          <w:pgSz w:w="11907" w:h="16840"/>
          <w:pgMar w:top="1247" w:right="1304" w:bottom="1020" w:left="1304" w:header="720" w:footer="720" w:gutter="0"/>
          <w:pgNumType w:start="1"/>
          <w:cols w:space="0" w:num="1"/>
          <w:docGrid w:linePitch="286" w:charSpace="0"/>
        </w:sectPr>
      </w:pPr>
    </w:p>
    <w:bookmarkEnd w:id="57"/>
    <w:bookmarkEnd w:id="58"/>
    <w:bookmarkEnd w:id="59"/>
    <w:p>
      <w:pPr>
        <w:pStyle w:val="4"/>
        <w:ind w:firstLine="0" w:firstLineChars="0"/>
        <w:rPr>
          <w:rFonts w:asciiTheme="minorEastAsia" w:hAnsiTheme="minorEastAsia" w:eastAsiaTheme="minorEastAsia"/>
          <w:color w:val="auto"/>
          <w:sz w:val="32"/>
          <w:szCs w:val="32"/>
        </w:rPr>
      </w:pPr>
      <w:bookmarkStart w:id="81" w:name="_Toc82338234"/>
      <w:bookmarkStart w:id="82" w:name="_Toc450840083"/>
      <w:bookmarkStart w:id="83" w:name="_Toc30189"/>
      <w:bookmarkStart w:id="84" w:name="_Toc82873317"/>
      <w:r>
        <w:rPr>
          <w:rFonts w:hint="eastAsia" w:asciiTheme="minorEastAsia" w:hAnsiTheme="minorEastAsia" w:eastAsiaTheme="minorEastAsia"/>
          <w:color w:val="auto"/>
          <w:sz w:val="32"/>
          <w:szCs w:val="32"/>
        </w:rPr>
        <w:t>第二章 采购项目技术规范和要求</w:t>
      </w:r>
      <w:bookmarkEnd w:id="81"/>
      <w:bookmarkEnd w:id="82"/>
      <w:bookmarkEnd w:id="83"/>
      <w:bookmarkEnd w:id="84"/>
    </w:p>
    <w:p>
      <w:pPr>
        <w:pStyle w:val="5"/>
        <w:rPr>
          <w:rFonts w:cs="宋体" w:asciiTheme="minorEastAsia" w:hAnsiTheme="minorEastAsia" w:eastAsiaTheme="minorEastAsia"/>
          <w:color w:val="auto"/>
          <w:szCs w:val="21"/>
        </w:rPr>
      </w:pPr>
      <w:bookmarkStart w:id="85" w:name="_Toc7902707"/>
      <w:bookmarkStart w:id="86" w:name="_Toc17867"/>
      <w:r>
        <w:rPr>
          <w:rFonts w:hint="eastAsia" w:cs="宋体" w:asciiTheme="minorEastAsia" w:hAnsiTheme="minorEastAsia" w:eastAsiaTheme="minorEastAsia"/>
          <w:color w:val="auto"/>
          <w:szCs w:val="21"/>
        </w:rPr>
        <w:t>1项目背景</w:t>
      </w:r>
      <w:bookmarkEnd w:id="85"/>
      <w:r>
        <w:rPr>
          <w:rFonts w:hint="eastAsia" w:cs="宋体" w:asciiTheme="minorEastAsia" w:hAnsiTheme="minorEastAsia" w:eastAsiaTheme="minorEastAsia"/>
          <w:color w:val="auto"/>
          <w:szCs w:val="21"/>
        </w:rPr>
        <w:t>和介绍</w:t>
      </w:r>
      <w:bookmarkEnd w:id="86"/>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 国家规定的标准和规范，有新标准按新标准执行；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1.2行业标准及规范，有新标准按新标准执行；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1.3其他相关标准。</w:t>
      </w:r>
    </w:p>
    <w:p>
      <w:pPr>
        <w:pStyle w:val="5"/>
        <w:rPr>
          <w:rFonts w:cs="宋体" w:asciiTheme="minorEastAsia" w:hAnsiTheme="minorEastAsia" w:eastAsiaTheme="minorEastAsia"/>
          <w:color w:val="auto"/>
          <w:szCs w:val="21"/>
        </w:rPr>
      </w:pPr>
      <w:bookmarkStart w:id="87" w:name="_Toc10470"/>
      <w:bookmarkStart w:id="88" w:name="_Toc450840085"/>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技术要求</w:t>
      </w:r>
      <w:bookmarkEnd w:id="87"/>
    </w:p>
    <w:p>
      <w:pPr>
        <w:ind w:firstLine="420"/>
        <w:rPr>
          <w:rFonts w:hint="eastAsia" w:asciiTheme="minorEastAsia" w:hAnsiTheme="minorEastAsia" w:eastAsiaTheme="minorEastAsia"/>
          <w:b/>
          <w:bCs/>
          <w:color w:val="auto"/>
          <w:lang w:val="en-US" w:eastAsia="zh-CN"/>
        </w:rPr>
      </w:pPr>
      <w:r>
        <w:rPr>
          <w:rFonts w:hint="eastAsia" w:asciiTheme="minorEastAsia" w:hAnsiTheme="minorEastAsia" w:eastAsiaTheme="minorEastAsia"/>
          <w:b/>
          <w:bCs/>
          <w:color w:val="auto"/>
          <w:lang w:eastAsia="zh-CN"/>
        </w:rPr>
        <w:t>标项</w:t>
      </w:r>
      <w:r>
        <w:rPr>
          <w:rFonts w:hint="eastAsia" w:asciiTheme="minorEastAsia" w:hAnsiTheme="minorEastAsia" w:eastAsiaTheme="minorEastAsia"/>
          <w:b/>
          <w:bCs/>
          <w:color w:val="auto"/>
          <w:lang w:val="en-US" w:eastAsia="zh-CN"/>
        </w:rPr>
        <w:t>1</w:t>
      </w:r>
    </w:p>
    <w:p>
      <w:pPr>
        <w:ind w:firstLine="422"/>
        <w:jc w:val="center"/>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全自动化学发光免疫分析仪招标参数</w:t>
      </w:r>
    </w:p>
    <w:tbl>
      <w:tblPr>
        <w:tblStyle w:val="26"/>
        <w:tblW w:w="8522" w:type="dxa"/>
        <w:tblInd w:w="108" w:type="dxa"/>
        <w:tblLayout w:type="fixed"/>
        <w:tblCellMar>
          <w:top w:w="0" w:type="dxa"/>
          <w:left w:w="108" w:type="dxa"/>
          <w:bottom w:w="0" w:type="dxa"/>
          <w:right w:w="108" w:type="dxa"/>
        </w:tblCellMar>
      </w:tblPr>
      <w:tblGrid>
        <w:gridCol w:w="1133"/>
        <w:gridCol w:w="7389"/>
      </w:tblGrid>
      <w:tr>
        <w:tblPrEx>
          <w:tblLayout w:type="fixed"/>
          <w:tblCellMar>
            <w:top w:w="0" w:type="dxa"/>
            <w:left w:w="108" w:type="dxa"/>
            <w:bottom w:w="0" w:type="dxa"/>
            <w:right w:w="108" w:type="dxa"/>
          </w:tblCellMar>
        </w:tblPrEx>
        <w:trPr>
          <w:trHeight w:val="359"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tabs>
                <w:tab w:val="left" w:pos="3834"/>
              </w:tabs>
              <w:ind w:right="-74" w:firstLine="422"/>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b/>
                <w:bCs/>
                <w:color w:val="0D0D0D" w:themeColor="text1" w:themeTint="F2"/>
                <w:szCs w:val="21"/>
                <w:lang w:val="zh-CN"/>
                <w14:textFill>
                  <w14:solidFill>
                    <w14:schemeClr w14:val="tx1">
                      <w14:lumMod w14:val="95000"/>
                      <w14:lumOff w14:val="5000"/>
                    </w14:schemeClr>
                  </w14:solidFill>
                </w14:textFill>
              </w:rPr>
              <w:t>序号</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2"/>
              <w:jc w:val="center"/>
              <w:rPr>
                <w:rFonts w:ascii="宋体" w:hAnsi="宋体" w:cs="宋体"/>
                <w:b/>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技术参数要求</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tabs>
                <w:tab w:val="left" w:pos="3834"/>
              </w:tabs>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全自动随机任选分立式；急诊优先检测</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单台最大测试速度≥</w:t>
            </w:r>
            <w:r>
              <w:rPr>
                <w:rFonts w:hint="eastAsia" w:ascii="宋体" w:hAnsi="宋体" w:cs="宋体"/>
                <w:color w:val="0D0D0D" w:themeColor="text1" w:themeTint="F2"/>
                <w:szCs w:val="21"/>
                <w14:textFill>
                  <w14:solidFill>
                    <w14:schemeClr w14:val="tx1">
                      <w14:lumMod w14:val="95000"/>
                      <w14:lumOff w14:val="5000"/>
                    </w14:schemeClr>
                  </w14:solidFill>
                </w14:textFill>
              </w:rPr>
              <w:t>450T/H</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3 </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仪器测试原理：</w:t>
            </w:r>
            <w:r>
              <w:rPr>
                <w:rFonts w:hint="eastAsia" w:ascii="宋体" w:hAnsi="宋体" w:cs="宋体"/>
                <w:color w:val="0D0D0D" w:themeColor="text1" w:themeTint="F2"/>
                <w:szCs w:val="21"/>
                <w14:textFill>
                  <w14:solidFill>
                    <w14:schemeClr w14:val="tx1">
                      <w14:lumMod w14:val="95000"/>
                      <w14:lumOff w14:val="5000"/>
                    </w14:schemeClr>
                  </w14:solidFill>
                </w14:textFill>
              </w:rPr>
              <w:t>ALP</w:t>
            </w: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标记的辉光型化学发光</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具有双抗体夹心法、间接法和竞争法等分析方法</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5</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0" w:firstLineChars="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进样轨道为前置式轨道三线多通道，随时连续进样，支持自动重测，急诊插入</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▲6</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一次性最多可装载样本量≥</w:t>
            </w:r>
            <w:r>
              <w:rPr>
                <w:rFonts w:hint="eastAsia" w:ascii="宋体" w:hAnsi="宋体" w:cs="宋体"/>
                <w:color w:val="0D0D0D" w:themeColor="text1" w:themeTint="F2"/>
                <w:szCs w:val="21"/>
                <w14:textFill>
                  <w14:solidFill>
                    <w14:schemeClr w14:val="tx1">
                      <w14:lumMod w14:val="95000"/>
                      <w14:lumOff w14:val="5000"/>
                    </w14:schemeClr>
                  </w14:solidFill>
                </w14:textFill>
              </w:rPr>
              <w:t>280</w:t>
            </w: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个进样仓容量</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7</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内置标配仪器内部样本条码扫描</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8</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样本针：具有钢针加样，具液面探测、随量跟踪、立体防撞、堵针检测、空吸检测等功能</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9</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样本针使用真空气吸清洗方式</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10</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样本针携带污染率</w:t>
            </w:r>
            <w:r>
              <w:rPr>
                <w:rFonts w:hint="eastAsia" w:ascii="宋体" w:hAnsi="宋体" w:cs="宋体"/>
                <w:color w:val="0D0D0D" w:themeColor="text1" w:themeTint="F2"/>
                <w:szCs w:val="21"/>
                <w14:textFill>
                  <w14:solidFill>
                    <w14:schemeClr w14:val="tx1">
                      <w14:lumMod w14:val="95000"/>
                      <w14:lumOff w14:val="5000"/>
                    </w14:schemeClr>
                  </w14:solidFill>
                </w14:textFill>
              </w:rPr>
              <w:t>&lt;0.1PPM，并提供第三方证明</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11</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样本管规格：满足微量样本杯、原始采血管、塑料试管等规格</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▲12</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试剂位≥</w:t>
            </w:r>
            <w:r>
              <w:rPr>
                <w:rFonts w:hint="eastAsia" w:ascii="宋体" w:hAnsi="宋体" w:cs="宋体"/>
                <w:color w:val="0D0D0D" w:themeColor="text1" w:themeTint="F2"/>
                <w:szCs w:val="21"/>
                <w14:textFill>
                  <w14:solidFill>
                    <w14:schemeClr w14:val="tx1">
                      <w14:lumMod w14:val="95000"/>
                      <w14:lumOff w14:val="5000"/>
                    </w14:schemeClr>
                  </w14:solidFill>
                </w14:textFill>
              </w:rPr>
              <w:t>35</w:t>
            </w: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个，</w:t>
            </w:r>
            <w:r>
              <w:rPr>
                <w:rFonts w:hint="eastAsia" w:ascii="宋体" w:hAnsi="宋体" w:cs="宋体"/>
                <w:color w:val="0D0D0D" w:themeColor="text1" w:themeTint="F2"/>
                <w:szCs w:val="21"/>
                <w14:textFill>
                  <w14:solidFill>
                    <w14:schemeClr w14:val="tx1">
                      <w14:lumMod w14:val="95000"/>
                      <w14:lumOff w14:val="5000"/>
                    </w14:schemeClr>
                  </w14:solidFill>
                </w14:textFill>
              </w:rPr>
              <w:t>2-8</w:t>
            </w: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℃不间断冷藏</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13</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试剂条码扫描器需内置在试剂盘内。</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14</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试剂针具有液面探测、随量跟踪、立体防撞、气泡检测等功能</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▲15</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反应单元是一次性反应杯，一次性加载≥</w:t>
            </w:r>
            <w:r>
              <w:rPr>
                <w:rFonts w:hint="eastAsia" w:ascii="宋体" w:hAnsi="宋体" w:cs="宋体"/>
                <w:color w:val="0D0D0D" w:themeColor="text1" w:themeTint="F2"/>
                <w:szCs w:val="21"/>
                <w14:textFill>
                  <w14:solidFill>
                    <w14:schemeClr w14:val="tx1">
                      <w14:lumMod w14:val="95000"/>
                      <w14:lumOff w14:val="5000"/>
                    </w14:schemeClr>
                  </w14:solidFill>
                </w14:textFill>
              </w:rPr>
              <w:t>1100</w:t>
            </w: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个,料斗式散装反应杯进样</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16</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反应温度控制在</w:t>
            </w:r>
            <w:r>
              <w:rPr>
                <w:rFonts w:hint="eastAsia" w:ascii="宋体" w:hAnsi="宋体" w:cs="宋体"/>
                <w:color w:val="0D0D0D" w:themeColor="text1" w:themeTint="F2"/>
                <w:szCs w:val="21"/>
                <w14:textFill>
                  <w14:solidFill>
                    <w14:schemeClr w14:val="tx1">
                      <w14:lumMod w14:val="95000"/>
                      <w14:lumOff w14:val="5000"/>
                    </w14:schemeClr>
                  </w14:solidFill>
                </w14:textFill>
              </w:rPr>
              <w:t>37</w:t>
            </w: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w:t>
            </w:r>
            <w:r>
              <w:rPr>
                <w:rFonts w:hint="eastAsia" w:ascii="宋体" w:hAnsi="宋体" w:cs="宋体"/>
                <w:color w:val="0D0D0D" w:themeColor="text1" w:themeTint="F2"/>
                <w:szCs w:val="21"/>
                <w14:textFill>
                  <w14:solidFill>
                    <w14:schemeClr w14:val="tx1">
                      <w14:lumMod w14:val="95000"/>
                      <w14:lumOff w14:val="5000"/>
                    </w14:schemeClr>
                  </w14:solidFill>
                </w14:textFill>
              </w:rPr>
              <w:t>0.1</w:t>
            </w: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17</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反应盘恒温装置：恒温槽固体直热，日常免维护保养</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18</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具备非接触式偏心涡旋混匀方式</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生物防风险设置，可进行反应后物质固体和液体分离技术</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20</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磁分离机构布局：双核磁分离盘，</w:t>
            </w:r>
            <w:r>
              <w:rPr>
                <w:rFonts w:hint="eastAsia" w:ascii="宋体" w:hAnsi="宋体" w:cs="宋体"/>
                <w:color w:val="0D0D0D" w:themeColor="text1" w:themeTint="F2"/>
                <w:szCs w:val="21"/>
                <w14:textFill>
                  <w14:solidFill>
                    <w14:schemeClr w14:val="tx1">
                      <w14:lumMod w14:val="95000"/>
                      <w14:lumOff w14:val="5000"/>
                    </w14:schemeClr>
                  </w14:solidFill>
                </w14:textFill>
              </w:rPr>
              <w:t>4</w:t>
            </w: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重磁分离清洗，底物注入</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检测器搭载PMT</w:t>
            </w: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光子计数器</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22</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LED</w:t>
            </w: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实时校准</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23</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具备内置主曲线，二维码识别，配套校准品校正</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24</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符合Westgard</w:t>
            </w: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多规则质控、</w:t>
            </w:r>
            <w:r>
              <w:rPr>
                <w:rFonts w:hint="eastAsia" w:ascii="宋体" w:hAnsi="宋体" w:cs="宋体"/>
                <w:color w:val="0D0D0D" w:themeColor="text1" w:themeTint="F2"/>
                <w:szCs w:val="21"/>
                <w14:textFill>
                  <w14:solidFill>
                    <w14:schemeClr w14:val="tx1">
                      <w14:lumMod w14:val="95000"/>
                      <w14:lumOff w14:val="5000"/>
                    </w14:schemeClr>
                  </w14:solidFill>
                </w14:textFill>
              </w:rPr>
              <w:t>Twin plot</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25</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符合国际量值溯源体系要求</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26</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电脑操作：≥</w:t>
            </w:r>
            <w:r>
              <w:rPr>
                <w:rFonts w:hint="eastAsia" w:ascii="宋体" w:hAnsi="宋体" w:cs="宋体"/>
                <w:color w:val="0D0D0D" w:themeColor="text1" w:themeTint="F2"/>
                <w:szCs w:val="21"/>
                <w14:textFill>
                  <w14:solidFill>
                    <w14:schemeClr w14:val="tx1">
                      <w14:lumMod w14:val="95000"/>
                      <w14:lumOff w14:val="5000"/>
                    </w14:schemeClr>
                  </w14:solidFill>
                </w14:textFill>
              </w:rPr>
              <w:t>17</w:t>
            </w: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寸液晶触摸显示屏</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27</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支持三种测试申请模式（顺序模式、样本架号模式、条码模式）</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▲28</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拓展功能：与同品牌全自动生化仪联机。</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jc w:val="left"/>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29</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highlight w:val="white"/>
                <w:lang w:val="zh-CN"/>
                <w14:textFill>
                  <w14:solidFill>
                    <w14:schemeClr w14:val="tx1">
                      <w14:lumMod w14:val="95000"/>
                      <w14:lumOff w14:val="5000"/>
                    </w14:schemeClr>
                  </w14:solidFill>
                </w14:textFill>
              </w:rPr>
              <w:t>检测项目：具有甲状腺、性腺、肿瘤标记物、传染病、肝纤维、心标记、骨代谢、贫血、PCT等检测</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30</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全部检测项目要≥</w:t>
            </w:r>
            <w:r>
              <w:rPr>
                <w:rFonts w:hint="eastAsia" w:ascii="宋体" w:hAnsi="宋体" w:cs="宋体"/>
                <w:color w:val="0D0D0D" w:themeColor="text1" w:themeTint="F2"/>
                <w:szCs w:val="21"/>
                <w14:textFill>
                  <w14:solidFill>
                    <w14:schemeClr w14:val="tx1">
                      <w14:lumMod w14:val="95000"/>
                      <w14:lumOff w14:val="5000"/>
                    </w14:schemeClr>
                  </w14:solidFill>
                </w14:textFill>
              </w:rPr>
              <w:t>62</w:t>
            </w: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项</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★31</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TSH</w:t>
            </w: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满足功能灵敏度</w:t>
            </w:r>
            <w:r>
              <w:rPr>
                <w:rFonts w:hint="eastAsia" w:ascii="宋体" w:hAnsi="宋体" w:cs="宋体"/>
                <w:color w:val="0D0D0D" w:themeColor="text1" w:themeTint="F2"/>
                <w:szCs w:val="21"/>
                <w14:textFill>
                  <w14:solidFill>
                    <w14:schemeClr w14:val="tx1">
                      <w14:lumMod w14:val="95000"/>
                      <w14:lumOff w14:val="5000"/>
                    </w14:schemeClr>
                  </w14:solidFill>
                </w14:textFill>
              </w:rPr>
              <w:t>≤0.02mIU/mL,HIV</w:t>
            </w: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可进行抗原抗体联合检测</w:t>
            </w:r>
            <w:r>
              <w:rPr>
                <w:rFonts w:hint="eastAsia" w:ascii="宋体" w:hAnsi="宋体" w:cs="宋体"/>
                <w:color w:val="0D0D0D" w:themeColor="text1" w:themeTint="F2"/>
                <w:szCs w:val="21"/>
                <w14:textFill>
                  <w14:solidFill>
                    <w14:schemeClr w14:val="tx1">
                      <w14:lumMod w14:val="95000"/>
                      <w14:lumOff w14:val="5000"/>
                    </w14:schemeClr>
                  </w14:solidFill>
                </w14:textFill>
              </w:rPr>
              <w:t>，</w:t>
            </w: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乙肝五项及</w:t>
            </w:r>
            <w:r>
              <w:rPr>
                <w:rFonts w:hint="eastAsia" w:ascii="宋体" w:hAnsi="宋体" w:cs="宋体"/>
                <w:color w:val="0D0D0D" w:themeColor="text1" w:themeTint="F2"/>
                <w:szCs w:val="21"/>
                <w14:textFill>
                  <w14:solidFill>
                    <w14:schemeClr w14:val="tx1">
                      <w14:lumMod w14:val="95000"/>
                      <w14:lumOff w14:val="5000"/>
                    </w14:schemeClr>
                  </w14:solidFill>
                </w14:textFill>
              </w:rPr>
              <w:t>HIV</w:t>
            </w: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通过欧盟</w:t>
            </w:r>
            <w:r>
              <w:rPr>
                <w:rFonts w:hint="eastAsia" w:ascii="宋体" w:hAnsi="宋体" w:cs="宋体"/>
                <w:color w:val="0D0D0D" w:themeColor="text1" w:themeTint="F2"/>
                <w:szCs w:val="21"/>
                <w14:textFill>
                  <w14:solidFill>
                    <w14:schemeClr w14:val="tx1">
                      <w14:lumMod w14:val="95000"/>
                      <w14:lumOff w14:val="5000"/>
                    </w14:schemeClr>
                  </w14:solidFill>
                </w14:textFill>
              </w:rPr>
              <w:t>CE list A</w:t>
            </w: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认证</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32</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仪器及试剂、相关耗品等都具有</w:t>
            </w:r>
            <w:r>
              <w:rPr>
                <w:rFonts w:hint="eastAsia" w:ascii="宋体" w:hAnsi="宋体" w:cs="宋体"/>
                <w:color w:val="0D0D0D" w:themeColor="text1" w:themeTint="F2"/>
                <w:szCs w:val="21"/>
                <w14:textFill>
                  <w14:solidFill>
                    <w14:schemeClr w14:val="tx1">
                      <w14:lumMod w14:val="95000"/>
                      <w14:lumOff w14:val="5000"/>
                    </w14:schemeClr>
                  </w14:solidFill>
                </w14:textFill>
              </w:rPr>
              <w:t>CFDA</w:t>
            </w: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认证</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33</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zh-CN"/>
                <w14:textFill>
                  <w14:solidFill>
                    <w14:schemeClr w14:val="tx1">
                      <w14:lumMod w14:val="95000"/>
                      <w14:lumOff w14:val="5000"/>
                    </w14:schemeClr>
                  </w14:solidFill>
                </w14:textFill>
              </w:rPr>
              <w:t>采用原厂质控品和校准品，满足溯源性要求，并提供溯源性文件。要求提供原厂校准品和质控品的注册证</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2"/>
              <w:rPr>
                <w:rFonts w:ascii="宋体" w:hAnsi="宋体" w:cs="宋体"/>
                <w:b/>
                <w:bCs/>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b/>
                <w:bCs/>
                <w:color w:val="0D0D0D" w:themeColor="text1" w:themeTint="F2"/>
                <w:szCs w:val="21"/>
                <w:lang w:val="zh-CN"/>
                <w14:textFill>
                  <w14:solidFill>
                    <w14:schemeClr w14:val="tx1">
                      <w14:lumMod w14:val="95000"/>
                      <w14:lumOff w14:val="5000"/>
                    </w14:schemeClr>
                  </w14:solidFill>
                </w14:textFill>
              </w:rPr>
              <w:t>配置要求</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主机  1台</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SDM模块 1台</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3</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手持式二维条码扫描器1台</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样本架组件 1套</w:t>
            </w:r>
          </w:p>
        </w:tc>
      </w:tr>
      <w:tr>
        <w:tblPrEx>
          <w:tblLayout w:type="fixed"/>
          <w:tblCellMar>
            <w:top w:w="0" w:type="dxa"/>
            <w:left w:w="108" w:type="dxa"/>
            <w:bottom w:w="0" w:type="dxa"/>
            <w:right w:w="108" w:type="dxa"/>
          </w:tblCellMar>
        </w:tblPrEx>
        <w:trPr>
          <w:trHeight w:val="20"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5</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计算机（LCD显示器 22＂）1台</w:t>
            </w:r>
          </w:p>
        </w:tc>
      </w:tr>
      <w:tr>
        <w:tblPrEx>
          <w:tblLayout w:type="fixed"/>
          <w:tblCellMar>
            <w:top w:w="0" w:type="dxa"/>
            <w:left w:w="108" w:type="dxa"/>
            <w:bottom w:w="0" w:type="dxa"/>
            <w:right w:w="108" w:type="dxa"/>
          </w:tblCellMar>
        </w:tblPrEx>
        <w:trPr>
          <w:trHeight w:val="20"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6</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25L废液桶组件 1套</w:t>
            </w:r>
          </w:p>
        </w:tc>
      </w:tr>
      <w:tr>
        <w:tblPrEx>
          <w:tblLayout w:type="fixed"/>
          <w:tblCellMar>
            <w:top w:w="0" w:type="dxa"/>
            <w:left w:w="108" w:type="dxa"/>
            <w:bottom w:w="0" w:type="dxa"/>
            <w:right w:w="108" w:type="dxa"/>
          </w:tblCellMar>
        </w:tblPrEx>
        <w:trPr>
          <w:trHeight w:val="20"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7</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装机试剂包 1套</w:t>
            </w:r>
          </w:p>
        </w:tc>
      </w:tr>
      <w:tr>
        <w:tblPrEx>
          <w:tblLayout w:type="fixed"/>
          <w:tblCellMar>
            <w:top w:w="0" w:type="dxa"/>
            <w:left w:w="108" w:type="dxa"/>
            <w:bottom w:w="0" w:type="dxa"/>
            <w:right w:w="108" w:type="dxa"/>
          </w:tblCellMar>
        </w:tblPrEx>
        <w:trPr>
          <w:trHeight w:val="1" w:hRule="atLeast"/>
        </w:trPr>
        <w:tc>
          <w:tcPr>
            <w:tcW w:w="113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8</w:t>
            </w:r>
          </w:p>
        </w:tc>
        <w:tc>
          <w:tcPr>
            <w:tcW w:w="7389"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ind w:firstLine="420"/>
              <w:rPr>
                <w:rFonts w:ascii="宋体" w:hAnsi="宋体" w:cs="宋体"/>
                <w:color w:val="0D0D0D" w:themeColor="text1" w:themeTint="F2"/>
                <w:szCs w:val="21"/>
                <w:lang w:val="zh-CN"/>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附件包 1套</w:t>
            </w:r>
          </w:p>
        </w:tc>
      </w:tr>
    </w:tbl>
    <w:p>
      <w:pPr>
        <w:ind w:firstLine="420"/>
        <w:rPr>
          <w:color w:val="0D0D0D" w:themeColor="text1" w:themeTint="F2"/>
          <w14:textFill>
            <w14:solidFill>
              <w14:schemeClr w14:val="tx1">
                <w14:lumMod w14:val="95000"/>
                <w14:lumOff w14:val="5000"/>
              </w14:schemeClr>
            </w14:solidFill>
          </w14:textFill>
        </w:rPr>
      </w:pPr>
    </w:p>
    <w:p>
      <w:pPr>
        <w:rPr>
          <w:color w:val="auto"/>
        </w:rPr>
      </w:pPr>
    </w:p>
    <w:p>
      <w:pPr>
        <w:rPr>
          <w:rFonts w:hint="eastAsia" w:ascii="宋体" w:hAnsi="宋体" w:eastAsia="宋体" w:cs="宋体"/>
          <w:b/>
          <w:color w:val="auto"/>
          <w:sz w:val="21"/>
          <w:szCs w:val="21"/>
        </w:rPr>
      </w:pPr>
      <w:r>
        <w:rPr>
          <w:rFonts w:hint="eastAsia" w:ascii="宋体" w:hAnsi="宋体" w:eastAsia="宋体" w:cs="宋体"/>
          <w:b/>
          <w:color w:val="auto"/>
          <w:sz w:val="21"/>
          <w:szCs w:val="21"/>
        </w:rPr>
        <w:br w:type="page"/>
      </w:r>
    </w:p>
    <w:p>
      <w:pPr>
        <w:ind w:firstLine="3675" w:firstLineChars="1743"/>
        <w:rPr>
          <w:rFonts w:ascii="宋体" w:hAnsi="宋体" w:cs="宋体"/>
          <w:b/>
          <w:color w:val="0D0D0D" w:themeColor="text1" w:themeTint="F2"/>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尿沉渣流水线招标参数</w:t>
      </w:r>
    </w:p>
    <w:tbl>
      <w:tblPr>
        <w:tblStyle w:val="26"/>
        <w:tblW w:w="9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8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161" w:type="dxa"/>
            <w:vAlign w:val="center"/>
          </w:tcPr>
          <w:p>
            <w:pPr>
              <w:ind w:firstLine="422"/>
              <w:jc w:val="center"/>
              <w:rPr>
                <w:rFonts w:ascii="宋体" w:hAnsi="宋体" w:cs="宋体"/>
                <w:b/>
                <w:color w:val="0D0D0D" w:themeColor="text1" w:themeTint="F2"/>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序号</w:t>
            </w:r>
          </w:p>
        </w:tc>
        <w:tc>
          <w:tcPr>
            <w:tcW w:w="8354" w:type="dxa"/>
            <w:vAlign w:val="center"/>
          </w:tcPr>
          <w:p>
            <w:pPr>
              <w:ind w:firstLine="2496" w:firstLineChars="1184"/>
              <w:rPr>
                <w:rFonts w:ascii="宋体" w:hAnsi="宋体" w:cs="宋体"/>
                <w:b/>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161" w:type="dxa"/>
            <w:vAlign w:val="center"/>
          </w:tcPr>
          <w:p>
            <w:pPr>
              <w:ind w:firstLine="420"/>
              <w:jc w:val="center"/>
              <w:rPr>
                <w:rFonts w:ascii="宋体" w:hAnsi="宋体" w:cs="宋体"/>
                <w:b/>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w:t>
            </w:r>
          </w:p>
        </w:tc>
        <w:tc>
          <w:tcPr>
            <w:tcW w:w="8354" w:type="dxa"/>
            <w:vAlign w:val="center"/>
          </w:tcPr>
          <w:p>
            <w:pPr>
              <w:ind w:firstLine="422"/>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全自动尿液分析流水线基本功能及要求：</w:t>
            </w:r>
            <w:r>
              <w:rPr>
                <w:rFonts w:hint="eastAsia" w:ascii="宋体" w:hAnsi="宋体" w:cs="宋体"/>
                <w:color w:val="0D0D0D" w:themeColor="text1" w:themeTint="F2"/>
                <w:szCs w:val="21"/>
                <w14:textFill>
                  <w14:solidFill>
                    <w14:schemeClr w14:val="tx1">
                      <w14:lumMod w14:val="95000"/>
                      <w14:lumOff w14:val="5000"/>
                    </w14:schemeClr>
                  </w14:solidFill>
                </w14:textFill>
              </w:rPr>
              <w:t>全自动尿沉渣和尿干化轨道式连接，实现尿的形态学检测。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w:t>
            </w:r>
          </w:p>
        </w:tc>
        <w:tc>
          <w:tcPr>
            <w:tcW w:w="8354" w:type="dxa"/>
            <w:vAlign w:val="center"/>
          </w:tcPr>
          <w:p>
            <w:pPr>
              <w:ind w:firstLine="422"/>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工作原理：</w:t>
            </w:r>
            <w:r>
              <w:rPr>
                <w:rFonts w:hint="eastAsia" w:ascii="宋体" w:hAnsi="宋体" w:cs="宋体"/>
                <w:color w:val="0D0D0D" w:themeColor="text1" w:themeTint="F2"/>
                <w:szCs w:val="21"/>
                <w14:textFill>
                  <w14:solidFill>
                    <w14:schemeClr w14:val="tx1">
                      <w14:lumMod w14:val="95000"/>
                      <w14:lumOff w14:val="5000"/>
                    </w14:schemeClr>
                  </w14:solidFill>
                </w14:textFill>
              </w:rPr>
              <w:t>采用数字自动识别原理，进行尿液有形成分分析，采用光电比色法和折射法对尿液化学成分及理学项目检测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3</w:t>
            </w:r>
          </w:p>
        </w:tc>
        <w:tc>
          <w:tcPr>
            <w:tcW w:w="8354" w:type="dxa"/>
            <w:vAlign w:val="center"/>
          </w:tcPr>
          <w:p>
            <w:pPr>
              <w:ind w:firstLine="422"/>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自动检测项目：</w:t>
            </w:r>
          </w:p>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有形成分分析仪：可检测尿液中所有有形成分 </w:t>
            </w:r>
          </w:p>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干化学分析仪：可检测白细胞、尿胆原、蛋白质、胆红素、葡萄糖、维生素C、比重、酮体、亚硝酸盐、PH值、隐血、微量白蛋白、肌酐、尿钙、浊度、颜色、蛋白肌酐比值、微量白蛋白肌酐比值。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w:t>
            </w:r>
          </w:p>
        </w:tc>
        <w:tc>
          <w:tcPr>
            <w:tcW w:w="8354" w:type="dxa"/>
            <w:vAlign w:val="center"/>
          </w:tcPr>
          <w:p>
            <w:pPr>
              <w:ind w:firstLine="420"/>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吸样量：</w:t>
            </w:r>
            <w:r>
              <w:rPr>
                <w:rFonts w:hint="eastAsia" w:ascii="宋体" w:hAnsi="宋体" w:cs="宋体"/>
                <w:b/>
                <w:bCs/>
                <w:color w:val="0D0D0D" w:themeColor="text1" w:themeTint="F2"/>
                <w:szCs w:val="21"/>
                <w14:textFill>
                  <w14:solidFill>
                    <w14:schemeClr w14:val="tx1">
                      <w14:lumMod w14:val="95000"/>
                      <w14:lumOff w14:val="5000"/>
                    </w14:schemeClr>
                  </w14:solidFill>
                </w14:textFill>
              </w:rPr>
              <w:t xml:space="preserve"> </w:t>
            </w:r>
            <w:r>
              <w:rPr>
                <w:rFonts w:hint="eastAsia" w:ascii="宋体" w:hAnsi="宋体" w:cs="宋体"/>
                <w:color w:val="0D0D0D" w:themeColor="text1" w:themeTint="F2"/>
                <w:szCs w:val="21"/>
                <w14:textFill>
                  <w14:solidFill>
                    <w14:schemeClr w14:val="tx1">
                      <w14:lumMod w14:val="95000"/>
                      <w14:lumOff w14:val="5000"/>
                    </w14:schemeClr>
                  </w14:solidFill>
                </w14:textFill>
              </w:rPr>
              <w:t>有形成分分析仪：200-1600 µl      干化学：</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w:t>
            </w:r>
            <w:r>
              <w:rPr>
                <w:rFonts w:hint="eastAsia" w:ascii="宋体" w:hAnsi="宋体" w:cs="宋体"/>
                <w:color w:val="0D0D0D" w:themeColor="text1" w:themeTint="F2"/>
                <w:szCs w:val="21"/>
                <w14:textFill>
                  <w14:solidFill>
                    <w14:schemeClr w14:val="tx1">
                      <w14:lumMod w14:val="95000"/>
                      <w14:lumOff w14:val="5000"/>
                    </w14:schemeClr>
                  </w14:solidFill>
                </w14:textFill>
              </w:rPr>
              <w:t>1000µl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5</w:t>
            </w:r>
          </w:p>
        </w:tc>
        <w:tc>
          <w:tcPr>
            <w:tcW w:w="835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注射器终身免维护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6</w:t>
            </w:r>
          </w:p>
        </w:tc>
        <w:tc>
          <w:tcPr>
            <w:tcW w:w="835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采用智能分配轨道系统的进样方式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7</w:t>
            </w:r>
          </w:p>
        </w:tc>
        <w:tc>
          <w:tcPr>
            <w:tcW w:w="835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有形成分采用高精度注射器加样，干化学采用</w:t>
            </w:r>
            <w:r>
              <w:rPr>
                <w:rFonts w:hint="eastAsia" w:ascii="宋体" w:hAnsi="宋体" w:cs="宋体"/>
                <w:color w:val="0D0D0D" w:themeColor="text1" w:themeTint="F2"/>
                <w:spacing w:val="-4"/>
                <w:szCs w:val="21"/>
                <w14:textFill>
                  <w14:solidFill>
                    <w14:schemeClr w14:val="tx1">
                      <w14:lumMod w14:val="95000"/>
                      <w14:lumOff w14:val="5000"/>
                    </w14:schemeClr>
                  </w14:solidFill>
                </w14:textFill>
              </w:rPr>
              <w:t>定点定量点样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8</w:t>
            </w:r>
          </w:p>
        </w:tc>
        <w:tc>
          <w:tcPr>
            <w:tcW w:w="835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具有低倍镜阴性标本筛查功能（以产品检验报告为准）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▲9</w:t>
            </w:r>
          </w:p>
        </w:tc>
        <w:tc>
          <w:tcPr>
            <w:tcW w:w="835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具有坐标定位追踪识别技术（提供知识产权证明文件）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★10</w:t>
            </w:r>
          </w:p>
        </w:tc>
        <w:tc>
          <w:tcPr>
            <w:tcW w:w="835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具有自定义审核规则设定界面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▲11</w:t>
            </w:r>
          </w:p>
        </w:tc>
        <w:tc>
          <w:tcPr>
            <w:tcW w:w="835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仪器具有自动调焦技术，无需定焦液进行人工调焦（提供知识产权证明文件）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12</w:t>
            </w:r>
          </w:p>
        </w:tc>
        <w:tc>
          <w:tcPr>
            <w:tcW w:w="835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有形成分检测速度≥80T/H， 干化学≥</w:t>
            </w:r>
            <w:r>
              <w:rPr>
                <w:rFonts w:hint="eastAsia" w:ascii="宋体" w:hAnsi="宋体" w:cs="宋体"/>
                <w:color w:val="0D0D0D" w:themeColor="text1" w:themeTint="F2"/>
                <w:spacing w:val="-4"/>
                <w:szCs w:val="21"/>
                <w14:textFill>
                  <w14:solidFill>
                    <w14:schemeClr w14:val="tx1">
                      <w14:lumMod w14:val="95000"/>
                      <w14:lumOff w14:val="5000"/>
                    </w14:schemeClr>
                  </w14:solidFill>
                </w14:textFill>
              </w:rPr>
              <w:t>200测试/小时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13</w:t>
            </w:r>
          </w:p>
        </w:tc>
        <w:tc>
          <w:tcPr>
            <w:tcW w:w="835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具有对计数池反向排空、反向和正向冲洗功能（以产品检验报告为准）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14</w:t>
            </w:r>
          </w:p>
        </w:tc>
        <w:tc>
          <w:tcPr>
            <w:tcW w:w="8354"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试纸仓容量</w:t>
            </w:r>
            <w:r>
              <w:rPr>
                <w:rFonts w:hint="eastAsia" w:ascii="宋体" w:hAnsi="宋体" w:cs="宋体"/>
                <w:color w:val="0D0D0D" w:themeColor="text1" w:themeTint="F2"/>
                <w:szCs w:val="21"/>
                <w14:textFill>
                  <w14:solidFill>
                    <w14:schemeClr w14:val="tx1">
                      <w14:lumMod w14:val="95000"/>
                      <w14:lumOff w14:val="5000"/>
                    </w14:schemeClr>
                  </w14:solidFill>
                </w14:textFill>
              </w:rPr>
              <w:t>≥190条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15</w:t>
            </w:r>
          </w:p>
        </w:tc>
        <w:tc>
          <w:tcPr>
            <w:tcW w:w="835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吸样针清洗</w:t>
            </w:r>
            <w:r>
              <w:rPr>
                <w:rFonts w:hint="eastAsia" w:ascii="宋体" w:hAnsi="宋体" w:cs="宋体"/>
                <w:color w:val="0D0D0D" w:themeColor="text1" w:themeTint="F2"/>
                <w:szCs w:val="21"/>
                <w14:textFill>
                  <w14:solidFill>
                    <w14:schemeClr w14:val="tx1">
                      <w14:lumMod w14:val="95000"/>
                      <w14:lumOff w14:val="5000"/>
                    </w14:schemeClr>
                  </w14:solidFill>
                </w14:textFill>
              </w:rPr>
              <w:t>采用高效清洗拭子清洗，降低携带污染率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161" w:type="dxa"/>
            <w:tcBorders>
              <w:top w:val="nil"/>
            </w:tcBorders>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16</w:t>
            </w:r>
          </w:p>
        </w:tc>
        <w:tc>
          <w:tcPr>
            <w:tcW w:w="8354" w:type="dxa"/>
            <w:tcBorders>
              <w:top w:val="nil"/>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具有全自动条码扫描功能，自动识别标本信息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161" w:type="dxa"/>
            <w:tcBorders>
              <w:top w:val="nil"/>
            </w:tcBorders>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17</w:t>
            </w:r>
          </w:p>
        </w:tc>
        <w:tc>
          <w:tcPr>
            <w:tcW w:w="8354" w:type="dxa"/>
            <w:tcBorders>
              <w:top w:val="nil"/>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具有急诊功能，急诊标本随时插入检测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161" w:type="dxa"/>
            <w:tcBorders>
              <w:top w:val="nil"/>
            </w:tcBorders>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18</w:t>
            </w:r>
          </w:p>
        </w:tc>
        <w:tc>
          <w:tcPr>
            <w:tcW w:w="8354" w:type="dxa"/>
            <w:tcBorders>
              <w:top w:val="nil"/>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待检区容量</w:t>
            </w:r>
            <w:r>
              <w:rPr>
                <w:rFonts w:hint="eastAsia" w:ascii="宋体" w:hAnsi="宋体" w:cs="宋体"/>
                <w:color w:val="0D0D0D" w:themeColor="text1" w:themeTint="F2"/>
                <w:szCs w:val="21"/>
                <w14:textFill>
                  <w14:solidFill>
                    <w14:schemeClr w14:val="tx1">
                      <w14:lumMod w14:val="95000"/>
                      <w14:lumOff w14:val="5000"/>
                    </w14:schemeClr>
                  </w14:solidFill>
                </w14:textFill>
              </w:rPr>
              <w:t>10管/架，一次可装载≥90份标本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161" w:type="dxa"/>
            <w:tcBorders>
              <w:top w:val="nil"/>
            </w:tcBorders>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w:t>
            </w:r>
          </w:p>
        </w:tc>
        <w:tc>
          <w:tcPr>
            <w:tcW w:w="8354" w:type="dxa"/>
            <w:tcBorders>
              <w:top w:val="nil"/>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有形成分检测可提供xx个/µl和xx个/HPF两种报告方式，自由选择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20</w:t>
            </w:r>
          </w:p>
        </w:tc>
        <w:tc>
          <w:tcPr>
            <w:tcW w:w="835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标准网络接口，可以和LIS及HIS系统联网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w:t>
            </w:r>
          </w:p>
        </w:tc>
        <w:tc>
          <w:tcPr>
            <w:tcW w:w="8354" w:type="dxa"/>
            <w:vAlign w:val="center"/>
          </w:tcPr>
          <w:p>
            <w:pPr>
              <w:ind w:firstLine="422"/>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显微镜模块基本功能及要求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21.1</w:t>
            </w:r>
          </w:p>
        </w:tc>
        <w:tc>
          <w:tcPr>
            <w:tcW w:w="8354" w:type="dxa"/>
            <w:vAlign w:val="center"/>
          </w:tcPr>
          <w:p>
            <w:pPr>
              <w:ind w:firstLine="420"/>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光学系统:无限远光学校正系统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21.2</w:t>
            </w:r>
          </w:p>
        </w:tc>
        <w:tc>
          <w:tcPr>
            <w:tcW w:w="8354" w:type="dxa"/>
            <w:vAlign w:val="center"/>
          </w:tcPr>
          <w:p>
            <w:pPr>
              <w:ind w:firstLine="420"/>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照明装置：内置透射光柯勒照明，长寿命LED光源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21.3</w:t>
            </w:r>
          </w:p>
        </w:tc>
        <w:tc>
          <w:tcPr>
            <w:tcW w:w="8354" w:type="dxa"/>
            <w:vAlign w:val="center"/>
          </w:tcPr>
          <w:p>
            <w:pPr>
              <w:ind w:firstLine="420"/>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调焦系统:载物台垂直运动由滚柱（齿条—小齿轮）机构导向，采用粗微同轴旋钮，具备粗调限位器和张力调整环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21.4</w:t>
            </w:r>
          </w:p>
        </w:tc>
        <w:tc>
          <w:tcPr>
            <w:tcW w:w="8354" w:type="dxa"/>
            <w:vAlign w:val="center"/>
          </w:tcPr>
          <w:p>
            <w:pPr>
              <w:ind w:firstLine="420"/>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物镜转盘:固定4孔物镜转盘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21.5</w:t>
            </w:r>
          </w:p>
        </w:tc>
        <w:tc>
          <w:tcPr>
            <w:tcW w:w="8354" w:type="dxa"/>
            <w:vAlign w:val="center"/>
          </w:tcPr>
          <w:p>
            <w:pPr>
              <w:ind w:firstLine="420"/>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观察筒类型三目视场数20 倾角镜筒倾角为30° 瞳间距48-75mm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21.6</w:t>
            </w:r>
          </w:p>
        </w:tc>
        <w:tc>
          <w:tcPr>
            <w:tcW w:w="8354" w:type="dxa"/>
            <w:vAlign w:val="center"/>
          </w:tcPr>
          <w:p>
            <w:pPr>
              <w:ind w:firstLine="420"/>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载物台：机械式载物台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21.7</w:t>
            </w:r>
          </w:p>
        </w:tc>
        <w:tc>
          <w:tcPr>
            <w:tcW w:w="8354" w:type="dxa"/>
            <w:vAlign w:val="center"/>
          </w:tcPr>
          <w:p>
            <w:pPr>
              <w:ind w:firstLine="420"/>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聚光镜阿贝聚光镜，内置日光滤色片，数值孔径1.25（浸油时），内装式孔径光阑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21.8</w:t>
            </w:r>
          </w:p>
        </w:tc>
        <w:tc>
          <w:tcPr>
            <w:tcW w:w="8354" w:type="dxa"/>
            <w:vAlign w:val="center"/>
          </w:tcPr>
          <w:p>
            <w:pPr>
              <w:ind w:firstLine="420"/>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物镜：4X、10X、40X、100X，平场消色差物镜，环保材质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21.9</w:t>
            </w:r>
          </w:p>
        </w:tc>
        <w:tc>
          <w:tcPr>
            <w:tcW w:w="8354" w:type="dxa"/>
            <w:vAlign w:val="center"/>
          </w:tcPr>
          <w:p>
            <w:pPr>
              <w:ind w:firstLine="420"/>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防霉装置：在观察筒、目镜、物镜都做了防霉处理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21.10</w:t>
            </w:r>
          </w:p>
        </w:tc>
        <w:tc>
          <w:tcPr>
            <w:tcW w:w="8354" w:type="dxa"/>
            <w:vAlign w:val="center"/>
          </w:tcPr>
          <w:p>
            <w:pPr>
              <w:ind w:firstLine="420"/>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接口：C型视频接口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21.11</w:t>
            </w:r>
          </w:p>
        </w:tc>
        <w:tc>
          <w:tcPr>
            <w:tcW w:w="8354" w:type="dxa"/>
            <w:vAlign w:val="center"/>
          </w:tcPr>
          <w:p>
            <w:pPr>
              <w:ind w:firstLine="420"/>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主机：</w:t>
            </w:r>
            <w:r>
              <w:rPr>
                <w:rFonts w:hint="eastAsia" w:ascii="宋体" w:hAnsi="宋体" w:cs="宋体"/>
                <w:color w:val="0D0D0D" w:themeColor="text1" w:themeTint="F2"/>
                <w:szCs w:val="21"/>
                <w14:textFill>
                  <w14:solidFill>
                    <w14:schemeClr w14:val="tx1">
                      <w14:lumMod w14:val="95000"/>
                      <w14:lumOff w14:val="5000"/>
                    </w14:schemeClr>
                  </w14:solidFill>
                </w14:textFill>
              </w:rPr>
              <w:t>≥</w:t>
            </w:r>
            <w:r>
              <w:rPr>
                <w:rFonts w:hint="eastAsia" w:ascii="宋体" w:hAnsi="宋体" w:cs="宋体"/>
                <w:bCs/>
                <w:color w:val="0D0D0D" w:themeColor="text1" w:themeTint="F2"/>
                <w:szCs w:val="21"/>
                <w14:textFill>
                  <w14:solidFill>
                    <w14:schemeClr w14:val="tx1">
                      <w14:lumMod w14:val="95000"/>
                      <w14:lumOff w14:val="5000"/>
                    </w14:schemeClr>
                  </w14:solidFill>
                </w14:textFill>
              </w:rPr>
              <w:t>1000万像素，通过USB接口直接与电脑连接，可实时观察图像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21.12</w:t>
            </w:r>
          </w:p>
        </w:tc>
        <w:tc>
          <w:tcPr>
            <w:tcW w:w="8354" w:type="dxa"/>
            <w:vAlign w:val="center"/>
          </w:tcPr>
          <w:p>
            <w:pPr>
              <w:ind w:firstLine="420"/>
              <w:rPr>
                <w:rFonts w:ascii="宋体" w:hAnsi="宋体" w:cs="宋体"/>
                <w:bCs/>
                <w:color w:val="0D0D0D" w:themeColor="text1" w:themeTint="F2"/>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软件：图像采集及视频录制，平面几何学测量，多自由度图片及添加标尺，预设参数加载、编辑、删除及导出导入，测量定标参数导出导入，多国语言包支持.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p>
        </w:tc>
        <w:tc>
          <w:tcPr>
            <w:tcW w:w="8354" w:type="dxa"/>
            <w:vAlign w:val="center"/>
          </w:tcPr>
          <w:p>
            <w:pPr>
              <w:ind w:firstLine="422"/>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w:t>
            </w:r>
          </w:p>
        </w:tc>
        <w:tc>
          <w:tcPr>
            <w:tcW w:w="8354" w:type="dxa"/>
            <w:vAlign w:val="center"/>
          </w:tcPr>
          <w:p>
            <w:pPr>
              <w:ind w:firstLine="420"/>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全自动尿液有形成分分析仪    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w:t>
            </w:r>
          </w:p>
        </w:tc>
        <w:tc>
          <w:tcPr>
            <w:tcW w:w="8354" w:type="dxa"/>
            <w:vAlign w:val="center"/>
          </w:tcPr>
          <w:p>
            <w:pPr>
              <w:ind w:firstLine="420"/>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全自动干化学尿液分析仪      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3</w:t>
            </w:r>
          </w:p>
        </w:tc>
        <w:tc>
          <w:tcPr>
            <w:tcW w:w="835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连接轨道  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w:t>
            </w:r>
          </w:p>
        </w:tc>
        <w:tc>
          <w:tcPr>
            <w:tcW w:w="835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分析系统　软件　１套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5</w:t>
            </w:r>
          </w:p>
        </w:tc>
        <w:tc>
          <w:tcPr>
            <w:tcW w:w="835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品牌商用电脑 (19寸显示屏)  １台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6</w:t>
            </w:r>
          </w:p>
        </w:tc>
        <w:tc>
          <w:tcPr>
            <w:tcW w:w="835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装机试剂包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7</w:t>
            </w:r>
          </w:p>
        </w:tc>
        <w:tc>
          <w:tcPr>
            <w:tcW w:w="8354" w:type="dxa"/>
            <w:vAlign w:val="center"/>
          </w:tcPr>
          <w:p>
            <w:pPr>
              <w:ind w:firstLine="404"/>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pacing w:val="-4"/>
                <w:szCs w:val="21"/>
                <w14:textFill>
                  <w14:solidFill>
                    <w14:schemeClr w14:val="tx1">
                      <w14:lumMod w14:val="95000"/>
                      <w14:lumOff w14:val="5000"/>
                    </w14:schemeClr>
                  </w14:solidFill>
                </w14:textFill>
              </w:rPr>
              <w:t xml:space="preserve">附件包 </w:t>
            </w:r>
            <w:r>
              <w:rPr>
                <w:rFonts w:hint="eastAsia" w:ascii="宋体" w:hAnsi="宋体" w:cs="宋体"/>
                <w:color w:val="0D0D0D" w:themeColor="text1" w:themeTint="F2"/>
                <w:szCs w:val="21"/>
                <w14:textFill>
                  <w14:solidFill>
                    <w14:schemeClr w14:val="tx1">
                      <w14:lumMod w14:val="95000"/>
                      <w14:lumOff w14:val="5000"/>
                    </w14:schemeClr>
                  </w14:solidFill>
                </w14:textFill>
              </w:rPr>
              <w:t>１套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6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8</w:t>
            </w:r>
          </w:p>
        </w:tc>
        <w:tc>
          <w:tcPr>
            <w:tcW w:w="8354" w:type="dxa"/>
            <w:vAlign w:val="center"/>
          </w:tcPr>
          <w:p>
            <w:pPr>
              <w:ind w:firstLine="420"/>
              <w:rPr>
                <w:rFonts w:ascii="宋体" w:hAnsi="宋体" w:cs="宋体"/>
                <w:color w:val="0D0D0D" w:themeColor="text1" w:themeTint="F2"/>
                <w:spacing w:val="-4"/>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显微镜   4台</w:t>
            </w:r>
          </w:p>
        </w:tc>
      </w:tr>
    </w:tbl>
    <w:p>
      <w:pPr>
        <w:ind w:firstLine="422"/>
        <w:rPr>
          <w:rFonts w:ascii="宋体" w:hAnsi="宋体" w:cs="宋体"/>
          <w:b/>
          <w:color w:val="0D0D0D" w:themeColor="text1" w:themeTint="F2"/>
          <w:szCs w:val="21"/>
          <w14:textFill>
            <w14:solidFill>
              <w14:schemeClr w14:val="tx1">
                <w14:lumMod w14:val="95000"/>
                <w14:lumOff w14:val="5000"/>
              </w14:schemeClr>
            </w14:solidFill>
          </w14:textFill>
        </w:rPr>
      </w:pPr>
    </w:p>
    <w:p>
      <w:pPr>
        <w:rPr>
          <w:rFonts w:hint="eastAsia" w:ascii="宋体" w:hAnsi="宋体" w:cs="宋体"/>
          <w:b/>
          <w:color w:val="0D0D0D" w:themeColor="text1" w:themeTint="F2"/>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br w:type="page"/>
      </w:r>
    </w:p>
    <w:p>
      <w:pPr>
        <w:ind w:firstLine="422"/>
        <w:jc w:val="center"/>
        <w:rPr>
          <w:rFonts w:ascii="宋体" w:hAnsi="宋体" w:cs="宋体"/>
          <w:b/>
          <w:color w:val="0D0D0D" w:themeColor="text1" w:themeTint="F2"/>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全自动生化分析仪招标参数</w:t>
      </w:r>
    </w:p>
    <w:tbl>
      <w:tblPr>
        <w:tblStyle w:val="26"/>
        <w:tblW w:w="95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1"/>
        <w:gridCol w:w="81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6" w:hRule="atLeast"/>
          <w:jc w:val="center"/>
        </w:trPr>
        <w:tc>
          <w:tcPr>
            <w:tcW w:w="1371" w:type="dxa"/>
            <w:vAlign w:val="center"/>
          </w:tcPr>
          <w:p>
            <w:pPr>
              <w:ind w:firstLine="422"/>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序号</w:t>
            </w:r>
          </w:p>
        </w:tc>
        <w:tc>
          <w:tcPr>
            <w:tcW w:w="8144" w:type="dxa"/>
            <w:vAlign w:val="center"/>
          </w:tcPr>
          <w:p>
            <w:pPr>
              <w:ind w:firstLine="422"/>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技术参数要求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tcPr>
          <w:p>
            <w:pPr>
              <w:ind w:firstLine="525" w:firstLineChars="25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一</w:t>
            </w:r>
          </w:p>
        </w:tc>
        <w:tc>
          <w:tcPr>
            <w:tcW w:w="8144" w:type="dxa"/>
            <w:vAlign w:val="center"/>
          </w:tcPr>
          <w:p>
            <w:pPr>
              <w:ind w:firstLine="422"/>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 xml:space="preserve">数量：1套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tcPr>
          <w:p>
            <w:pPr>
              <w:ind w:firstLine="105" w:firstLineChars="5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二</w:t>
            </w:r>
          </w:p>
        </w:tc>
        <w:tc>
          <w:tcPr>
            <w:tcW w:w="8144" w:type="dxa"/>
            <w:vAlign w:val="center"/>
          </w:tcPr>
          <w:p>
            <w:pPr>
              <w:ind w:firstLine="422"/>
              <w:jc w:val="center"/>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技术参数要求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3" w:hRule="atLeast"/>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生化比色检测速度≥2000tests/h，电解质部分检测≥900tests/h。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生化仪为模块化设计，可根据用户实际使用情况添加模块从而提高检测速度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3</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同时可测定项目数≥57项（含电解质）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试剂总最小反应用量≥80μl。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7" w:hRule="atLeast"/>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5</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最小样本量1微升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6</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最小试剂量10微升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7</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试剂通道≥100个，双试剂≥50项，有冷藏功能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★8</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所有通道全部开放，可随意选用任何品牌的生化试剂、校准品及质控品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9</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比色控温采用无成本支出和免保养的恒温方式，无需任何添加剂。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▲10</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反应杯：石英玻璃比色杯，终身免费提供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11</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信息传输：人工、智能双向通讯系统，免费连接LIS系统中文打印报告单。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12</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具备原装样品条形码及试剂条形码识别功能。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13</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样品位：可同时放置≥400个病人样本，无须停机可任意装卸样本。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14</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有单独的急诊位，急诊样品位≥20个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15</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具备异常标本自动重检功能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16</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操作系统需采用全中文汉化版本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17</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纯水处理：出水量与主机相适应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18</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UPS：功率与主机相适应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血气分析仪模块基本功能及要求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19.1</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适用范围：适用于检验、临床等PH，PCO</w:t>
            </w:r>
            <w:r>
              <w:rPr>
                <w:rFonts w:hint="eastAsia" w:ascii="宋体" w:hAnsi="宋体" w:cs="宋体"/>
                <w:color w:val="0D0D0D" w:themeColor="text1" w:themeTint="F2"/>
                <w:szCs w:val="21"/>
                <w:vertAlign w:val="subscript"/>
                <w14:textFill>
                  <w14:solidFill>
                    <w14:schemeClr w14:val="tx1">
                      <w14:lumMod w14:val="95000"/>
                      <w14:lumOff w14:val="5000"/>
                    </w14:schemeClr>
                  </w14:solidFill>
                </w14:textFill>
              </w:rPr>
              <w:t>2</w:t>
            </w:r>
            <w:r>
              <w:rPr>
                <w:rFonts w:hint="eastAsia" w:ascii="宋体" w:hAnsi="宋体" w:cs="宋体"/>
                <w:color w:val="0D0D0D" w:themeColor="text1" w:themeTint="F2"/>
                <w:szCs w:val="21"/>
                <w14:textFill>
                  <w14:solidFill>
                    <w14:schemeClr w14:val="tx1">
                      <w14:lumMod w14:val="95000"/>
                      <w14:lumOff w14:val="5000"/>
                    </w14:schemeClr>
                  </w14:solidFill>
                </w14:textFill>
              </w:rPr>
              <w:t>，PO</w:t>
            </w:r>
            <w:r>
              <w:rPr>
                <w:rFonts w:hint="eastAsia" w:ascii="宋体" w:hAnsi="宋体" w:cs="宋体"/>
                <w:color w:val="0D0D0D" w:themeColor="text1" w:themeTint="F2"/>
                <w:szCs w:val="21"/>
                <w:vertAlign w:val="subscript"/>
                <w14:textFill>
                  <w14:solidFill>
                    <w14:schemeClr w14:val="tx1">
                      <w14:lumMod w14:val="95000"/>
                      <w14:lumOff w14:val="5000"/>
                    </w14:schemeClr>
                  </w14:solidFill>
                </w14:textFill>
              </w:rPr>
              <w:t>2</w:t>
            </w: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 ，K，Na，Cl，Ca，Lac（乳酸），综合血氧（tHb，SO</w:t>
            </w:r>
            <w:r>
              <w:rPr>
                <w:rFonts w:hint="eastAsia" w:ascii="宋体" w:hAnsi="宋体" w:cs="宋体"/>
                <w:color w:val="0D0D0D" w:themeColor="text1" w:themeTint="F2"/>
                <w:szCs w:val="21"/>
                <w:vertAlign w:val="subscript"/>
                <w14:textFill>
                  <w14:solidFill>
                    <w14:schemeClr w14:val="tx1">
                      <w14:lumMod w14:val="95000"/>
                      <w14:lumOff w14:val="5000"/>
                    </w14:schemeClr>
                  </w14:solidFill>
                </w14:textFill>
              </w:rPr>
              <w:t>2</w:t>
            </w:r>
            <w:r>
              <w:rPr>
                <w:rFonts w:hint="eastAsia" w:ascii="宋体" w:hAnsi="宋体" w:cs="宋体"/>
                <w:color w:val="0D0D0D" w:themeColor="text1" w:themeTint="F2"/>
                <w:szCs w:val="21"/>
                <w14:textFill>
                  <w14:solidFill>
                    <w14:schemeClr w14:val="tx1">
                      <w14:lumMod w14:val="95000"/>
                      <w14:lumOff w14:val="5000"/>
                    </w14:schemeClr>
                  </w14:solidFill>
                </w14:textFill>
              </w:rPr>
              <w:t>%，O2Hb,COHb,MetHb,HHb），Bar（大气压）项目的检测。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▲19.2</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1．测量项目：PH，PCO2，PO2 ，K，Na，Cl，Ca，Lac（乳酸），血氧（tHb，SO2%, O2Hb,COHb,MetHb,HHb），Bar（大气压）。在某项测试发生故障时，可单独关闭不影响其它指标测定,上述参数缺一不可.</w:t>
            </w:r>
          </w:p>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2．有单独提供乳酸测定功能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19. 3</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计算参数项目：≥30项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19.4</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标本种类：适合于全血、其它液体（血浆、透析液、尿液等）及呼出气体测定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19.5</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样本量：标本用量全参数用量：≤195μl，微量血≤95μl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19.6</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定标间隔时间：Cal 2：4小时1次/每天，Cal 1：4小时1次/每天，无需总定标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19.7</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测定速度：每份标本进样后在80秒内完成测定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▲19.8</w:t>
            </w:r>
          </w:p>
        </w:tc>
        <w:tc>
          <w:tcPr>
            <w:tcW w:w="8144" w:type="dxa"/>
            <w:vAlign w:val="center"/>
          </w:tcPr>
          <w:p>
            <w:pPr>
              <w:ind w:firstLine="422"/>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试剂和效期要求：要求非试剂包。采用单独试剂瓶 [</w:t>
            </w:r>
            <w:r>
              <w:rPr>
                <w:rFonts w:hint="eastAsia" w:ascii="宋体" w:hAnsi="宋体" w:cs="宋体"/>
                <w:color w:val="0D0D0D" w:themeColor="text1" w:themeTint="F2"/>
                <w:szCs w:val="21"/>
                <w14:textFill>
                  <w14:solidFill>
                    <w14:schemeClr w14:val="tx1">
                      <w14:lumMod w14:val="95000"/>
                      <w14:lumOff w14:val="5000"/>
                    </w14:schemeClr>
                  </w14:solidFill>
                </w14:textFill>
              </w:rPr>
              <w:t>冲洗液（必须单独冲洗瓶包装，不许清洁液等瓶混合包装一体）/定标1/定标2/清洁液仅4种规格]等单独更换方式，避免试剂浪费。</w:t>
            </w:r>
            <w:r>
              <w:rPr>
                <w:rFonts w:hint="eastAsia" w:ascii="宋体" w:hAnsi="宋体" w:cs="宋体"/>
                <w:b/>
                <w:bCs/>
                <w:color w:val="0D0D0D" w:themeColor="text1" w:themeTint="F2"/>
                <w:szCs w:val="21"/>
                <w14:textFill>
                  <w14:solidFill>
                    <w14:schemeClr w14:val="tx1">
                      <w14:lumMod w14:val="95000"/>
                      <w14:lumOff w14:val="5000"/>
                    </w14:schemeClr>
                  </w14:solidFill>
                </w14:textFill>
              </w:rPr>
              <w:t>试剂装机后要求无期限要求，用完为止</w:t>
            </w:r>
            <w:r>
              <w:rPr>
                <w:rFonts w:hint="eastAsia" w:ascii="宋体" w:hAnsi="宋体" w:cs="宋体"/>
                <w:color w:val="0D0D0D" w:themeColor="text1" w:themeTint="F2"/>
                <w:szCs w:val="21"/>
                <w14:textFill>
                  <w14:solidFill>
                    <w14:schemeClr w14:val="tx1">
                      <w14:lumMod w14:val="95000"/>
                      <w14:lumOff w14:val="5000"/>
                    </w14:schemeClr>
                  </w14:solidFill>
                </w14:textFill>
              </w:rPr>
              <w:t>。如上4瓶试剂必须同时满足上述全部参数（血气/电解质/乳酸）定标要求，无需再添加其它专用试剂。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19.9</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测量范围：</w:t>
            </w:r>
          </w:p>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PH：6.300 — 8.000          PCO2 ：5.0 — 250.0mmHg</w:t>
            </w:r>
          </w:p>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PO2：0.0 — 800.0mmHg     K：0.5 — 25.0 mmol/L</w:t>
            </w:r>
          </w:p>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Na：7 — 350 mmol/L        Cl：7 — 350 mmol/L</w:t>
            </w:r>
          </w:p>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Ca：0.2  — 9.99 mmol/L     Lac：0.0 — 30.00mmol/L</w:t>
            </w:r>
          </w:p>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tHb：0.0 — 27.70g/dl        SO2：0.0 — 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19.10</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精确度：</w:t>
            </w:r>
          </w:p>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PH：±0.01     PCO2 ：±0.01   PO2：±0.01    K：±0.02</w:t>
            </w:r>
          </w:p>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Na：±0.1  Cl：±1  Ca： ±0.02  Lac：±0. 1  tHb：±0. 1  SO2：±1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19.11</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要求血气带有自动绘制酸碱平衡图和诊断结果显示和打印(非热敏纸打印)，并带有自动质控装置，质控瓶可以同时安放20支，可按用户要求时段自动做质控并列印质控数据和分布图。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19.12</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可以设定测量参数的参考范围，方便临床医生的参考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19.13</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数据存储/打印： 带有标准硬盘，便于管理。带有内置打印和可以直接外连接激光打印机输出报告单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19.14</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硬件和软件要求：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19.14.1</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采用Windows XP软件界面基台；液晶触屏高分辨显示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19.14.2</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形象图文提示的友好操作界面；可以编排病人报告单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19.14.3</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完善的质量控制软件和统计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19.14.4</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内部设置故障提示和诊断系统维修手册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19.14.5</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有自动启动和交流电源故障判断提示功能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19.14.6</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统计标本数量功能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17.14.7</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内置中文教学操作和保养演示录像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17.15</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电极保养：要求全部电极稳定，寿命长。所有电极寿命保用≥3年。每更换一次电极寿命保用≥3年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▲17.16</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对PCO2/PO2电极定标必须采用外挂二个装有标准气体(袖珍手掌式低压气瓶, 无需减压表)瓶来提供.。保证定标的稳定性，降低成本。非液体定标形式。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三</w:t>
            </w:r>
          </w:p>
        </w:tc>
        <w:tc>
          <w:tcPr>
            <w:tcW w:w="8144" w:type="dxa"/>
          </w:tcPr>
          <w:p>
            <w:pPr>
              <w:ind w:firstLine="422"/>
              <w:jc w:val="center"/>
              <w:rPr>
                <w:rFonts w:ascii="宋体" w:hAnsi="宋体" w:cs="宋体"/>
                <w:b/>
                <w:color w:val="0D0D0D" w:themeColor="text1" w:themeTint="F2"/>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配置要求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w:t>
            </w:r>
          </w:p>
        </w:tc>
        <w:tc>
          <w:tcPr>
            <w:tcW w:w="8144" w:type="dxa"/>
            <w:vAlign w:val="bottom"/>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生化仪主机一台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操作电脑及中文电脑各一台，激光打印机一台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3</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纯水处理一台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UPS一台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5</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血气分析仪一台</w:t>
            </w:r>
          </w:p>
        </w:tc>
      </w:tr>
    </w:tbl>
    <w:p>
      <w:pPr>
        <w:ind w:firstLine="420"/>
        <w:rPr>
          <w:rFonts w:ascii="宋体" w:hAnsi="宋体" w:cs="宋体"/>
          <w:color w:val="0D0D0D" w:themeColor="text1" w:themeTint="F2"/>
          <w:szCs w:val="21"/>
          <w14:textFill>
            <w14:solidFill>
              <w14:schemeClr w14:val="tx1">
                <w14:lumMod w14:val="95000"/>
                <w14:lumOff w14:val="5000"/>
              </w14:schemeClr>
            </w14:solidFill>
          </w14:textFill>
        </w:rPr>
      </w:pPr>
    </w:p>
    <w:p>
      <w:pPr>
        <w:rPr>
          <w:rFonts w:hint="eastAsia" w:ascii="宋体" w:hAnsi="宋体" w:eastAsia="宋体" w:cs="宋体"/>
          <w:b/>
          <w:color w:val="auto"/>
          <w:sz w:val="21"/>
          <w:szCs w:val="21"/>
        </w:rPr>
      </w:pPr>
      <w:r>
        <w:rPr>
          <w:rFonts w:hint="eastAsia" w:ascii="宋体" w:hAnsi="宋体" w:eastAsia="宋体" w:cs="宋体"/>
          <w:b/>
          <w:color w:val="auto"/>
          <w:sz w:val="21"/>
          <w:szCs w:val="21"/>
        </w:rPr>
        <w:br w:type="page"/>
      </w:r>
    </w:p>
    <w:p>
      <w:pPr>
        <w:ind w:firstLine="422"/>
        <w:jc w:val="center"/>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全自动血液分析流水线</w:t>
      </w:r>
      <w:r>
        <w:rPr>
          <w:rFonts w:hint="eastAsia" w:ascii="宋体" w:hAnsi="宋体" w:cs="宋体"/>
          <w:b/>
          <w:bCs/>
          <w:color w:val="0D0D0D" w:themeColor="text1" w:themeTint="F2"/>
          <w:szCs w:val="21"/>
          <w14:textFill>
            <w14:solidFill>
              <w14:schemeClr w14:val="tx1">
                <w14:lumMod w14:val="95000"/>
                <w14:lumOff w14:val="5000"/>
              </w14:schemeClr>
            </w14:solidFill>
          </w14:textFill>
        </w:rPr>
        <w:t>技术参数</w:t>
      </w:r>
    </w:p>
    <w:tbl>
      <w:tblPr>
        <w:tblStyle w:val="26"/>
        <w:tblW w:w="9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8075"/>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序号</w:t>
            </w:r>
          </w:p>
        </w:tc>
        <w:tc>
          <w:tcPr>
            <w:tcW w:w="8075" w:type="dxa"/>
            <w:tcBorders>
              <w:top w:val="single" w:color="auto" w:sz="4" w:space="0"/>
              <w:left w:val="nil"/>
              <w:bottom w:val="single" w:color="auto" w:sz="4" w:space="0"/>
              <w:right w:val="single" w:color="auto" w:sz="4" w:space="0"/>
            </w:tcBorders>
            <w:vAlign w:val="center"/>
          </w:tcPr>
          <w:p>
            <w:pPr>
              <w:spacing w:line="240" w:lineRule="auto"/>
              <w:ind w:firstLine="422"/>
              <w:jc w:val="center"/>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技术参数要求</w:t>
            </w:r>
          </w:p>
        </w:tc>
        <w:tc>
          <w:tcPr>
            <w:tcW w:w="418"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1.</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基本功能及要求</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1.1</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全自动血液分析流水线组成：2台全自动五分类血液细胞分析仪、1台CRP分析仪、1台推片染色机等通过轨道连接组成。</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1.2</w:t>
            </w:r>
          </w:p>
        </w:tc>
        <w:tc>
          <w:tcPr>
            <w:tcW w:w="8075" w:type="dxa"/>
            <w:tcBorders>
              <w:top w:val="single" w:color="auto" w:sz="4" w:space="0"/>
              <w:left w:val="nil"/>
              <w:bottom w:val="single" w:color="auto" w:sz="4" w:space="0"/>
              <w:right w:val="single" w:color="auto" w:sz="4" w:space="0"/>
            </w:tcBorders>
            <w:vAlign w:val="center"/>
          </w:tcPr>
          <w:p>
            <w:pPr>
              <w:pStyle w:val="50"/>
              <w:ind w:firstLine="0" w:firstLineChars="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具有血常规五分类、体液常规、CRP检测等功能。</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1.3</w:t>
            </w:r>
          </w:p>
        </w:tc>
        <w:tc>
          <w:tcPr>
            <w:tcW w:w="8075" w:type="dxa"/>
            <w:tcBorders>
              <w:top w:val="single" w:color="auto" w:sz="4" w:space="0"/>
              <w:left w:val="nil"/>
              <w:bottom w:val="single" w:color="auto" w:sz="4" w:space="0"/>
              <w:right w:val="single" w:color="auto" w:sz="4" w:space="0"/>
            </w:tcBorders>
            <w:vAlign w:val="center"/>
          </w:tcPr>
          <w:p>
            <w:pPr>
              <w:pStyle w:val="50"/>
              <w:ind w:firstLine="0" w:firstLineChars="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可随时插入急诊标本。</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1.4</w:t>
            </w:r>
          </w:p>
        </w:tc>
        <w:tc>
          <w:tcPr>
            <w:tcW w:w="8075" w:type="dxa"/>
            <w:tcBorders>
              <w:top w:val="single" w:color="auto" w:sz="4" w:space="0"/>
              <w:left w:val="nil"/>
              <w:bottom w:val="single" w:color="auto" w:sz="4" w:space="0"/>
              <w:right w:val="single" w:color="auto" w:sz="4" w:space="0"/>
            </w:tcBorders>
            <w:vAlign w:val="center"/>
          </w:tcPr>
          <w:p>
            <w:pPr>
              <w:pStyle w:val="50"/>
              <w:ind w:firstLine="0" w:firstLineChars="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具有条码识别功能。</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1.5</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整套系统仅需一台中央控制电脑即可操作，搭载全中文操作系统。</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1.6</w:t>
            </w:r>
          </w:p>
        </w:tc>
        <w:tc>
          <w:tcPr>
            <w:tcW w:w="8075" w:type="dxa"/>
            <w:tcBorders>
              <w:top w:val="single" w:color="auto" w:sz="4" w:space="0"/>
              <w:left w:val="nil"/>
              <w:bottom w:val="single" w:color="auto" w:sz="4" w:space="0"/>
              <w:right w:val="single" w:color="auto" w:sz="4" w:space="0"/>
            </w:tcBorders>
            <w:vAlign w:val="center"/>
          </w:tcPr>
          <w:p>
            <w:pPr>
              <w:pStyle w:val="50"/>
              <w:ind w:firstLine="0" w:firstLineChars="0"/>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具有一键开关机功能，无需逐台按顺序开关机。</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1.7</w:t>
            </w:r>
          </w:p>
        </w:tc>
        <w:tc>
          <w:tcPr>
            <w:tcW w:w="8075" w:type="dxa"/>
            <w:tcBorders>
              <w:top w:val="single" w:color="auto" w:sz="4" w:space="0"/>
              <w:left w:val="nil"/>
              <w:bottom w:val="single" w:color="auto" w:sz="4" w:space="0"/>
              <w:right w:val="single" w:color="auto" w:sz="4" w:space="0"/>
            </w:tcBorders>
            <w:vAlign w:val="center"/>
          </w:tcPr>
          <w:p>
            <w:pPr>
              <w:pStyle w:val="50"/>
              <w:ind w:firstLine="0" w:firstLineChars="0"/>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网络接口支持各种LIS和HIS。</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1.8</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b/>
                <w:bCs/>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质量控制：支持自动室内、室间质控程序，可存储所有质控结果，绘制质控图，可随时查阅、打印统计图。</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1.9</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提供有溯源性的校准物，并有配套高、中、低3个水平质控物。</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1.10</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可配置其他模块如正90°转角模块、负90°转角模块、缓存模块、跨柱模块等，具有很好地利用实验室空间。</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1.11</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电源要求：(220V)允差±10%~(50/60±2HZ)。</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b/>
                <w:bCs/>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21"/>
                <w14:textFill>
                  <w14:solidFill>
                    <w14:schemeClr w14:val="tx1">
                      <w14:lumMod w14:val="95000"/>
                      <w14:lumOff w14:val="5000"/>
                    </w14:schemeClr>
                  </w14:solidFill>
                </w14:textFill>
              </w:rPr>
              <w:t>2.</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各功能模块基本功能及要求</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b/>
                <w:bCs/>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21"/>
                <w14:textFill>
                  <w14:solidFill>
                    <w14:schemeClr w14:val="tx1">
                      <w14:lumMod w14:val="95000"/>
                      <w14:lumOff w14:val="5000"/>
                    </w14:schemeClr>
                  </w14:solidFill>
                </w14:textFill>
              </w:rPr>
              <w:t>2.1</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五分类血液细胞分析仪</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2.1.1</w:t>
            </w:r>
          </w:p>
        </w:tc>
        <w:tc>
          <w:tcPr>
            <w:tcW w:w="8075" w:type="dxa"/>
            <w:tcBorders>
              <w:top w:val="single" w:color="auto" w:sz="4" w:space="0"/>
              <w:left w:val="nil"/>
              <w:bottom w:val="single" w:color="auto" w:sz="4" w:space="0"/>
              <w:right w:val="single" w:color="auto" w:sz="4" w:space="0"/>
            </w:tcBorders>
            <w:vAlign w:val="center"/>
          </w:tcPr>
          <w:p>
            <w:pPr>
              <w:pStyle w:val="50"/>
              <w:ind w:firstLine="0" w:firstLineChars="0"/>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检测方法及原理：半导体激光法、鞘流电阻抗法、核酸荧光染色法、流式细胞技术。</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b/>
                <w:bCs/>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2.1.2</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血液模式检测参数：≥36个参数，另有≥直方图2个，散点图≥8个；</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2.1.3</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单台血液分析仪全自动细胞计数和分类检测速度≥120个样本/小时；全自动细胞计数、分类加网织红、有核红细胞计数同时检测速度≥80样本/小时。</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2.1.4</w:t>
            </w:r>
          </w:p>
        </w:tc>
        <w:tc>
          <w:tcPr>
            <w:tcW w:w="8075" w:type="dxa"/>
            <w:tcBorders>
              <w:top w:val="single" w:color="auto" w:sz="4" w:space="0"/>
              <w:left w:val="nil"/>
              <w:bottom w:val="single" w:color="auto" w:sz="4" w:space="0"/>
              <w:right w:val="single" w:color="auto" w:sz="4" w:space="0"/>
            </w:tcBorders>
            <w:vAlign w:val="center"/>
          </w:tcPr>
          <w:p>
            <w:pPr>
              <w:pStyle w:val="50"/>
              <w:ind w:firstLine="0" w:firstLineChars="0"/>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可进行白细胞分类测定、有核红细胞测定、网织红细胞测定、网织红细胞血红蛋白含量测定、红细胞测定、血小板测定、血红蛋白测定、感染红细胞测定的检测功能。</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2.1.5</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具有独立网织红检测通道，单独开关。RET单参数检测</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2.1.6</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血小板检测采用鞘流阻抗法和细胞染色法两种方法，并可转换。</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2.1.7</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血液检测时分析模式：支持CBC+DIFF\ CBC+DIFF+RET+NRBC\RET。</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2.1.8</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b/>
                <w:bCs/>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进样模式及样本量：手动进样小于155μl、自动穿刺进样小于205μl、末梢血模式≤50μl。</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2.1.9</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网织红细胞测试为全自动检测，无需人为辅助，无需机外添加试剂。</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2.1.10</w:t>
            </w:r>
            <w:r>
              <w:rPr>
                <w:rFonts w:hint="eastAsia" w:ascii="宋体" w:hAnsi="宋体" w:cs="宋体"/>
                <w:color w:val="0D0D0D" w:themeColor="text1" w:themeTint="F2"/>
                <w:szCs w:val="21"/>
                <w14:textFill>
                  <w14:solidFill>
                    <w14:schemeClr w14:val="tx1">
                      <w14:lumMod w14:val="95000"/>
                      <w14:lumOff w14:val="5000"/>
                    </w14:schemeClr>
                  </w14:solidFill>
                </w14:textFill>
              </w:rPr>
              <w:t>▲</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WBC低值时自动采取多倍进样量检测，无需手动添加，并提供相关证明文件</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2.1.11</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进样系统：可手动进样，进样时可一次装载至少180个样本，可选配装卸载扩容模块，增大试管架容量。</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2.1.12</w:t>
            </w:r>
          </w:p>
        </w:tc>
        <w:tc>
          <w:tcPr>
            <w:tcW w:w="8075" w:type="dxa"/>
            <w:tcBorders>
              <w:top w:val="single" w:color="auto" w:sz="4" w:space="0"/>
              <w:left w:val="nil"/>
              <w:bottom w:val="single" w:color="auto" w:sz="4" w:space="0"/>
              <w:right w:val="single" w:color="auto" w:sz="4" w:space="0"/>
            </w:tcBorders>
            <w:vAlign w:val="center"/>
          </w:tcPr>
          <w:p>
            <w:pPr>
              <w:pStyle w:val="50"/>
              <w:ind w:firstLine="0" w:firstLineChars="0"/>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配备原厂中文报告及数据处理系统。</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2.1.13</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血液分析仪主机自带10.4寸大屏幕彩色液晶触摸屏。</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2.1.14</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血液分析线性范围（静脉血）：白细胞：（0-500）</w:t>
            </w:r>
            <w:r>
              <w:rPr>
                <w:rFonts w:hint="eastAsia" w:ascii="宋体" w:hAnsi="宋体" w:cs="宋体"/>
                <w:color w:val="0D0D0D" w:themeColor="text1" w:themeTint="F2"/>
                <w:szCs w:val="21"/>
                <w14:textFill>
                  <w14:solidFill>
                    <w14:schemeClr w14:val="tx1">
                      <w14:lumMod w14:val="95000"/>
                      <w14:lumOff w14:val="5000"/>
                    </w14:schemeClr>
                  </w14:solidFill>
                </w14:textFill>
              </w:rPr>
              <w:sym w:font="Symbol" w:char="F0B4"/>
            </w: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 10</w:t>
            </w:r>
            <w:r>
              <w:rPr>
                <w:rFonts w:hint="eastAsia" w:ascii="宋体" w:hAnsi="宋体" w:cs="宋体"/>
                <w:b/>
                <w:color w:val="0D0D0D" w:themeColor="text1" w:themeTint="F2"/>
                <w:szCs w:val="21"/>
                <w:vertAlign w:val="superscript"/>
                <w14:textFill>
                  <w14:solidFill>
                    <w14:schemeClr w14:val="tx1">
                      <w14:lumMod w14:val="95000"/>
                      <w14:lumOff w14:val="5000"/>
                    </w14:schemeClr>
                  </w14:solidFill>
                </w14:textFill>
              </w:rPr>
              <w:t>9</w:t>
            </w:r>
            <w:r>
              <w:rPr>
                <w:rFonts w:hint="eastAsia" w:ascii="宋体" w:hAnsi="宋体" w:cs="宋体"/>
                <w:color w:val="0D0D0D" w:themeColor="text1" w:themeTint="F2"/>
                <w:szCs w:val="21"/>
                <w14:textFill>
                  <w14:solidFill>
                    <w14:schemeClr w14:val="tx1">
                      <w14:lumMod w14:val="95000"/>
                      <w14:lumOff w14:val="5000"/>
                    </w14:schemeClr>
                  </w14:solidFill>
                </w14:textFill>
              </w:rPr>
              <w:t>/L，红细胞：（0-8）</w:t>
            </w:r>
            <w:r>
              <w:rPr>
                <w:rFonts w:hint="eastAsia" w:ascii="宋体" w:hAnsi="宋体" w:cs="宋体"/>
                <w:color w:val="0D0D0D" w:themeColor="text1" w:themeTint="F2"/>
                <w:szCs w:val="21"/>
                <w14:textFill>
                  <w14:solidFill>
                    <w14:schemeClr w14:val="tx1">
                      <w14:lumMod w14:val="95000"/>
                      <w14:lumOff w14:val="5000"/>
                    </w14:schemeClr>
                  </w14:solidFill>
                </w14:textFill>
              </w:rPr>
              <w:sym w:font="Symbol" w:char="F0B4"/>
            </w: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 10</w:t>
            </w:r>
            <w:r>
              <w:rPr>
                <w:rFonts w:hint="eastAsia" w:ascii="宋体" w:hAnsi="宋体" w:cs="宋体"/>
                <w:b/>
                <w:color w:val="0D0D0D" w:themeColor="text1" w:themeTint="F2"/>
                <w:szCs w:val="21"/>
                <w:vertAlign w:val="superscript"/>
                <w14:textFill>
                  <w14:solidFill>
                    <w14:schemeClr w14:val="tx1">
                      <w14:lumMod w14:val="95000"/>
                      <w14:lumOff w14:val="5000"/>
                    </w14:schemeClr>
                  </w14:solidFill>
                </w14:textFill>
              </w:rPr>
              <w:t>12</w:t>
            </w:r>
            <w:r>
              <w:rPr>
                <w:rFonts w:hint="eastAsia" w:ascii="宋体" w:hAnsi="宋体" w:cs="宋体"/>
                <w:color w:val="0D0D0D" w:themeColor="text1" w:themeTint="F2"/>
                <w:szCs w:val="21"/>
                <w14:textFill>
                  <w14:solidFill>
                    <w14:schemeClr w14:val="tx1">
                      <w14:lumMod w14:val="95000"/>
                      <w14:lumOff w14:val="5000"/>
                    </w14:schemeClr>
                  </w14:solidFill>
                </w14:textFill>
              </w:rPr>
              <w:t>/L，血小板：（0-5000）</w:t>
            </w:r>
            <w:r>
              <w:rPr>
                <w:rFonts w:hint="eastAsia" w:ascii="宋体" w:hAnsi="宋体" w:cs="宋体"/>
                <w:color w:val="0D0D0D" w:themeColor="text1" w:themeTint="F2"/>
                <w:szCs w:val="21"/>
                <w14:textFill>
                  <w14:solidFill>
                    <w14:schemeClr w14:val="tx1">
                      <w14:lumMod w14:val="95000"/>
                      <w14:lumOff w14:val="5000"/>
                    </w14:schemeClr>
                  </w14:solidFill>
                </w14:textFill>
              </w:rPr>
              <w:sym w:font="Symbol" w:char="F0B4"/>
            </w: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 10</w:t>
            </w:r>
            <w:r>
              <w:rPr>
                <w:rFonts w:hint="eastAsia" w:ascii="宋体" w:hAnsi="宋体" w:cs="宋体"/>
                <w:b/>
                <w:color w:val="0D0D0D" w:themeColor="text1" w:themeTint="F2"/>
                <w:szCs w:val="21"/>
                <w:vertAlign w:val="superscript"/>
                <w14:textFill>
                  <w14:solidFill>
                    <w14:schemeClr w14:val="tx1">
                      <w14:lumMod w14:val="95000"/>
                      <w14:lumOff w14:val="5000"/>
                    </w14:schemeClr>
                  </w14:solidFill>
                </w14:textFill>
              </w:rPr>
              <w:t>9</w:t>
            </w:r>
            <w:r>
              <w:rPr>
                <w:rFonts w:hint="eastAsia" w:ascii="宋体" w:hAnsi="宋体" w:cs="宋体"/>
                <w:color w:val="0D0D0D" w:themeColor="text1" w:themeTint="F2"/>
                <w:szCs w:val="21"/>
                <w14:textFill>
                  <w14:solidFill>
                    <w14:schemeClr w14:val="tx1">
                      <w14:lumMod w14:val="95000"/>
                      <w14:lumOff w14:val="5000"/>
                    </w14:schemeClr>
                  </w14:solidFill>
                </w14:textFill>
              </w:rPr>
              <w:t>/L；</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2.1.15</w:t>
            </w:r>
          </w:p>
        </w:tc>
        <w:tc>
          <w:tcPr>
            <w:tcW w:w="8075" w:type="dxa"/>
            <w:tcBorders>
              <w:top w:val="single" w:color="auto" w:sz="4" w:space="0"/>
              <w:left w:val="nil"/>
              <w:bottom w:val="single" w:color="auto" w:sz="4" w:space="0"/>
              <w:right w:val="single" w:color="auto" w:sz="4" w:space="0"/>
            </w:tcBorders>
            <w:vAlign w:val="center"/>
          </w:tcPr>
          <w:p>
            <w:pPr>
              <w:pStyle w:val="50"/>
              <w:ind w:firstLine="0" w:firstLineChars="0"/>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能提供原厂配套的CFDA注册的质控品。</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2.1.16</w:t>
            </w:r>
          </w:p>
        </w:tc>
        <w:tc>
          <w:tcPr>
            <w:tcW w:w="8075" w:type="dxa"/>
            <w:tcBorders>
              <w:top w:val="single" w:color="auto" w:sz="4" w:space="0"/>
              <w:left w:val="nil"/>
              <w:bottom w:val="single" w:color="auto" w:sz="4" w:space="0"/>
              <w:right w:val="single" w:color="auto" w:sz="4" w:space="0"/>
            </w:tcBorders>
            <w:vAlign w:val="center"/>
          </w:tcPr>
          <w:p>
            <w:pPr>
              <w:pStyle w:val="50"/>
              <w:ind w:firstLine="0" w:firstLineChars="0"/>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具有全自动体液细胞计数和对体液中的白细胞进行分类的功能；具有通过高荧光体液细胞参数对肿瘤细胞进行提示功能。</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2.1.17</w:t>
            </w:r>
          </w:p>
        </w:tc>
        <w:tc>
          <w:tcPr>
            <w:tcW w:w="8075" w:type="dxa"/>
            <w:tcBorders>
              <w:top w:val="single" w:color="auto" w:sz="4" w:space="0"/>
              <w:left w:val="nil"/>
              <w:bottom w:val="single" w:color="auto" w:sz="4" w:space="0"/>
              <w:right w:val="single" w:color="auto" w:sz="4" w:space="0"/>
            </w:tcBorders>
            <w:vAlign w:val="center"/>
          </w:tcPr>
          <w:p>
            <w:pPr>
              <w:pStyle w:val="50"/>
              <w:ind w:firstLine="0" w:firstLineChars="0"/>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体液模式报告检测参数≥7项，研究参数≥6项。</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b/>
                <w:bCs/>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21"/>
                <w14:textFill>
                  <w14:solidFill>
                    <w14:schemeClr w14:val="tx1">
                      <w14:lumMod w14:val="95000"/>
                      <w14:lumOff w14:val="5000"/>
                    </w14:schemeClr>
                  </w14:solidFill>
                </w14:textFill>
              </w:rPr>
              <w:t>2.2</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推片染色机</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2.2.1</w:t>
            </w:r>
          </w:p>
        </w:tc>
        <w:tc>
          <w:tcPr>
            <w:tcW w:w="8075" w:type="dxa"/>
            <w:tcBorders>
              <w:top w:val="single" w:color="auto" w:sz="4" w:space="0"/>
              <w:left w:val="nil"/>
              <w:bottom w:val="single" w:color="auto" w:sz="4" w:space="0"/>
              <w:right w:val="single" w:color="auto" w:sz="4" w:space="0"/>
            </w:tcBorders>
            <w:vAlign w:val="center"/>
          </w:tcPr>
          <w:p>
            <w:pPr>
              <w:pStyle w:val="50"/>
              <w:ind w:firstLine="0" w:firstLineChars="0"/>
              <w:rPr>
                <w:rFonts w:ascii="宋体" w:hAnsi="宋体" w:cs="宋体"/>
                <w:b/>
                <w:bCs/>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可独立工作，在没有血常规HCT结果时也可进行推片。</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2.2.2</w:t>
            </w:r>
          </w:p>
        </w:tc>
        <w:tc>
          <w:tcPr>
            <w:tcW w:w="8075" w:type="dxa"/>
            <w:tcBorders>
              <w:top w:val="single" w:color="auto" w:sz="4" w:space="0"/>
              <w:left w:val="nil"/>
              <w:bottom w:val="single" w:color="auto" w:sz="4" w:space="0"/>
              <w:right w:val="single" w:color="auto" w:sz="4" w:space="0"/>
            </w:tcBorders>
            <w:vAlign w:val="center"/>
          </w:tcPr>
          <w:p>
            <w:pPr>
              <w:pStyle w:val="50"/>
              <w:ind w:firstLine="0" w:firstLineChars="0"/>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工作速度：≥120张玻片/小时。</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2.2.3</w:t>
            </w:r>
          </w:p>
        </w:tc>
        <w:tc>
          <w:tcPr>
            <w:tcW w:w="8075" w:type="dxa"/>
            <w:tcBorders>
              <w:top w:val="single" w:color="auto" w:sz="4" w:space="0"/>
              <w:left w:val="nil"/>
              <w:bottom w:val="single" w:color="auto" w:sz="4" w:space="0"/>
              <w:right w:val="single" w:color="auto" w:sz="4" w:space="0"/>
            </w:tcBorders>
            <w:vAlign w:val="center"/>
          </w:tcPr>
          <w:p>
            <w:pPr>
              <w:pStyle w:val="50"/>
              <w:ind w:firstLine="0" w:firstLineChars="0"/>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用血量：全自动进样≤200μl，闭盖进样≤200μl，微量血进样≤40μl。</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2.2.4</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染色玻片储存：专用玻片篮，每篮可放置10张玻片，可循环使用。</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2.2.5</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仪器可自动检测血液粘稠度，根据粘稠度的不同对滴血量、推片的速度/角度、推刀在血滴上停留的时间等进行控制。</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2.2.6</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推片规则：≥10项，用户可自定义推片规则。</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2.2.7</w:t>
            </w:r>
          </w:p>
        </w:tc>
        <w:tc>
          <w:tcPr>
            <w:tcW w:w="8075" w:type="dxa"/>
            <w:tcBorders>
              <w:top w:val="single" w:color="auto" w:sz="4" w:space="0"/>
              <w:left w:val="nil"/>
              <w:bottom w:val="single" w:color="auto" w:sz="4" w:space="0"/>
              <w:right w:val="single" w:color="auto" w:sz="4" w:space="0"/>
            </w:tcBorders>
            <w:vAlign w:val="center"/>
          </w:tcPr>
          <w:p>
            <w:pPr>
              <w:pStyle w:val="50"/>
              <w:ind w:firstLine="0" w:firstLineChars="0"/>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染色方式：≥7种。</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2.2.8</w:t>
            </w:r>
          </w:p>
        </w:tc>
        <w:tc>
          <w:tcPr>
            <w:tcW w:w="8075" w:type="dxa"/>
            <w:tcBorders>
              <w:top w:val="single" w:color="auto" w:sz="4" w:space="0"/>
              <w:left w:val="nil"/>
              <w:bottom w:val="single" w:color="auto" w:sz="4" w:space="0"/>
              <w:right w:val="single" w:color="auto" w:sz="4" w:space="0"/>
            </w:tcBorders>
            <w:vAlign w:val="center"/>
          </w:tcPr>
          <w:p>
            <w:pPr>
              <w:pStyle w:val="50"/>
              <w:ind w:firstLine="0" w:firstLineChars="0"/>
              <w:rPr>
                <w:rFonts w:ascii="宋体" w:hAnsi="宋体" w:cs="宋体"/>
                <w:b/>
                <w:bCs/>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染色盒方式：一片一盒。</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2.2.9</w:t>
            </w:r>
          </w:p>
        </w:tc>
        <w:tc>
          <w:tcPr>
            <w:tcW w:w="8075" w:type="dxa"/>
            <w:tcBorders>
              <w:top w:val="single" w:color="auto" w:sz="4" w:space="0"/>
              <w:left w:val="nil"/>
              <w:bottom w:val="single" w:color="auto" w:sz="4" w:space="0"/>
              <w:right w:val="single" w:color="auto" w:sz="4" w:space="0"/>
            </w:tcBorders>
            <w:vAlign w:val="center"/>
          </w:tcPr>
          <w:p>
            <w:pPr>
              <w:pStyle w:val="50"/>
              <w:ind w:firstLine="0" w:firstLineChars="0"/>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单次吸样最大推片数量：≥4张。</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2.2.10</w:t>
            </w:r>
            <w:r>
              <w:rPr>
                <w:rFonts w:hint="eastAsia" w:ascii="宋体" w:hAnsi="宋体" w:cs="宋体"/>
                <w:color w:val="0D0D0D" w:themeColor="text1" w:themeTint="F2"/>
                <w:szCs w:val="21"/>
                <w14:textFill>
                  <w14:solidFill>
                    <w14:schemeClr w14:val="tx1">
                      <w14:lumMod w14:val="95000"/>
                      <w14:lumOff w14:val="5000"/>
                    </w14:schemeClr>
                  </w14:solidFill>
                </w14:textFill>
              </w:rPr>
              <w:t>▲</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染色盒清洗维护：全自动维护程序，无需从机内取出手工清洗。</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2.2.11</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推片刀：无需更换，终身免维护。</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2.2.12</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玻片识别：可直接在玻片上打印数字、条码和二维码。</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2.2.13</w:t>
            </w:r>
          </w:p>
        </w:tc>
        <w:tc>
          <w:tcPr>
            <w:tcW w:w="8075" w:type="dxa"/>
            <w:tcBorders>
              <w:top w:val="single" w:color="auto" w:sz="4" w:space="0"/>
              <w:left w:val="nil"/>
              <w:bottom w:val="single" w:color="auto" w:sz="4" w:space="0"/>
              <w:right w:val="single" w:color="auto" w:sz="4" w:space="0"/>
            </w:tcBorders>
            <w:vAlign w:val="center"/>
          </w:tcPr>
          <w:p>
            <w:pPr>
              <w:pStyle w:val="50"/>
              <w:ind w:firstLine="0" w:firstLineChars="0"/>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染液全开放，染色时间可调。</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b/>
                <w:bCs/>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21"/>
                <w14:textFill>
                  <w14:solidFill>
                    <w14:schemeClr w14:val="tx1">
                      <w14:lumMod w14:val="95000"/>
                      <w14:lumOff w14:val="5000"/>
                    </w14:schemeClr>
                  </w14:solidFill>
                </w14:textFill>
              </w:rPr>
              <w:t>2.3</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b/>
                <w:bCs/>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CRP分析仪</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2.3.1</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检测原理：采用免疫比浊法进行C-反应蛋白（CRP）测定，采用全血细胞体积（WBC/RBC/PLT）对CRP浓度进行修正。</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2.3.2</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可通过轨道连接到血细胞分析流水线上工作，可随时添加样本。</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2.3.3</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样本类型：全血</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2.3.4</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样本用量：≤20μl</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2.3.5</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检测速度：≥90个样本/小时</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2.3.6</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CRP线性范围：0.2~300mg/L</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2.3.7</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携带污染≤1.0%，空白计数≤0.2mg/L</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2.3.8</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具有原厂配套的试剂、校准品、质控品，并提供校准品溯源性文件</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b/>
                <w:bCs/>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21"/>
                <w14:textFill>
                  <w14:solidFill>
                    <w14:schemeClr w14:val="tx1">
                      <w14:lumMod w14:val="95000"/>
                      <w14:lumOff w14:val="5000"/>
                    </w14:schemeClr>
                  </w14:solidFill>
                </w14:textFill>
              </w:rPr>
              <w:t>2.4</w:t>
            </w:r>
          </w:p>
        </w:tc>
        <w:tc>
          <w:tcPr>
            <w:tcW w:w="80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配置清单</w:t>
            </w:r>
          </w:p>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1  全自动五分类血液细胞分析仪主机 2 台 </w:t>
            </w:r>
          </w:p>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2  推片机主机 1 台 </w:t>
            </w:r>
          </w:p>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3  CRP检测仪 1 台 </w:t>
            </w:r>
          </w:p>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4  分析仪支架 2 套 </w:t>
            </w:r>
          </w:p>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5  推片机支架 1 套 </w:t>
            </w:r>
          </w:p>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6  CRP支架 1 套 </w:t>
            </w:r>
          </w:p>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7  外置条码扫描仪 1 个 </w:t>
            </w:r>
          </w:p>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8  气源 1 台 </w:t>
            </w:r>
          </w:p>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9  分析仪试剂包 2 套 </w:t>
            </w:r>
          </w:p>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10  推片试剂包 1 套 </w:t>
            </w:r>
          </w:p>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11  CRP试剂包 1 套 </w:t>
            </w:r>
          </w:p>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12  电脑主机 1 台 </w:t>
            </w:r>
          </w:p>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13  显示器 1 台 </w:t>
            </w:r>
          </w:p>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14  分析仪基本附件包 1 个 </w:t>
            </w:r>
          </w:p>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15  推片机基本附件包 1 个 </w:t>
            </w:r>
          </w:p>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16  CRP基本附件包 1 个 </w:t>
            </w:r>
          </w:p>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17  样本处理系统附件包 1 个 </w:t>
            </w:r>
          </w:p>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18  国标电源线 1 套 </w:t>
            </w:r>
          </w:p>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  专家系统 1 套</w:t>
            </w:r>
          </w:p>
        </w:tc>
        <w:tc>
          <w:tcPr>
            <w:tcW w:w="418"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bl>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page"/>
      </w:r>
    </w:p>
    <w:tbl>
      <w:tblPr>
        <w:tblStyle w:val="26"/>
        <w:tblW w:w="9337" w:type="dxa"/>
        <w:tblInd w:w="0" w:type="dxa"/>
        <w:shd w:val="clear" w:color="auto" w:fill="auto"/>
        <w:tblLayout w:type="fixed"/>
        <w:tblCellMar>
          <w:top w:w="0" w:type="dxa"/>
          <w:left w:w="0" w:type="dxa"/>
          <w:bottom w:w="0" w:type="dxa"/>
          <w:right w:w="0" w:type="dxa"/>
        </w:tblCellMar>
      </w:tblPr>
      <w:tblGrid>
        <w:gridCol w:w="9337"/>
      </w:tblGrid>
      <w:tr>
        <w:tblPrEx>
          <w:shd w:val="clear" w:color="auto" w:fill="auto"/>
          <w:tblLayout w:type="fixed"/>
          <w:tblCellMar>
            <w:top w:w="0" w:type="dxa"/>
            <w:left w:w="0" w:type="dxa"/>
            <w:bottom w:w="0" w:type="dxa"/>
            <w:right w:w="0" w:type="dxa"/>
          </w:tblCellMar>
        </w:tblPrEx>
        <w:trPr>
          <w:trHeight w:val="285" w:hRule="atLeast"/>
        </w:trPr>
        <w:tc>
          <w:tcPr>
            <w:tcW w:w="9337" w:type="dxa"/>
            <w:tcBorders>
              <w:top w:val="nil"/>
              <w:left w:val="nil"/>
              <w:bottom w:val="nil"/>
              <w:right w:val="nil"/>
            </w:tcBorders>
            <w:shd w:val="clear" w:color="auto" w:fill="auto"/>
            <w:tcMar>
              <w:top w:w="15" w:type="dxa"/>
              <w:left w:w="15" w:type="dxa"/>
              <w:right w:w="15" w:type="dxa"/>
            </w:tcMar>
            <w:vAlign w:val="center"/>
          </w:tcPr>
          <w:p>
            <w:pPr>
              <w:jc w:val="center"/>
              <w:rPr>
                <w:rFonts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b/>
                <w:bCs/>
                <w:color w:val="auto"/>
                <w:sz w:val="21"/>
                <w:szCs w:val="21"/>
              </w:rPr>
              <w:br w:type="page"/>
            </w:r>
            <w:r>
              <w:rPr>
                <w:rFonts w:hint="eastAsia" w:hAnsi="宋体" w:cs="宋体"/>
                <w:b/>
                <w:bCs/>
                <w:color w:val="0D0D0D" w:themeColor="text1" w:themeTint="F2"/>
                <w:szCs w:val="21"/>
                <w14:textFill>
                  <w14:solidFill>
                    <w14:schemeClr w14:val="tx1">
                      <w14:lumMod w14:val="95000"/>
                      <w14:lumOff w14:val="5000"/>
                    </w14:schemeClr>
                  </w14:solidFill>
                </w14:textFill>
              </w:rPr>
              <w:t>五分类血球计数仪</w:t>
            </w:r>
          </w:p>
          <w:tbl>
            <w:tblPr>
              <w:tblStyle w:val="26"/>
              <w:tblW w:w="864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2"/>
              <w:gridCol w:w="74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2" w:type="dxa"/>
                  <w:tcBorders>
                    <w:top w:val="single" w:color="auto" w:sz="4" w:space="0"/>
                    <w:left w:val="single" w:color="auto" w:sz="4" w:space="0"/>
                    <w:bottom w:val="single" w:color="auto" w:sz="4" w:space="0"/>
                    <w:right w:val="single" w:color="auto" w:sz="4" w:space="0"/>
                  </w:tcBorders>
                </w:tcPr>
                <w:p>
                  <w:pPr>
                    <w:ind w:firstLine="211" w:firstLineChars="100"/>
                    <w:rPr>
                      <w:rFonts w:ascii="宋体" w:hAnsi="宋体" w:cs="宋体"/>
                      <w:b/>
                      <w:color w:val="0D0D0D" w:themeColor="text1" w:themeTint="F2"/>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序号</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2"/>
                    <w:jc w:val="center"/>
                    <w:rPr>
                      <w:rFonts w:ascii="宋体" w:hAnsi="宋体" w:cs="宋体"/>
                      <w:b/>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技术参数要求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2" w:type="dxa"/>
                  <w:tcBorders>
                    <w:top w:val="single" w:color="auto" w:sz="4" w:space="0"/>
                    <w:left w:val="single" w:color="auto" w:sz="4" w:space="0"/>
                    <w:bottom w:val="single" w:color="auto" w:sz="4" w:space="0"/>
                    <w:right w:val="single" w:color="auto" w:sz="4" w:space="0"/>
                  </w:tcBorders>
                  <w:vAlign w:val="center"/>
                </w:tcPr>
                <w:p>
                  <w:pPr>
                    <w:ind w:firstLine="422"/>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1</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2"/>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项目详细描述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212"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1.1</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设备名称：五分类血球计数仪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2"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1.2</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设备数量:  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2"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1.3</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设备用途:白细胞五分类及异常细胞筛选功能及CRP定量检测。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2" w:type="dxa"/>
                  <w:tcBorders>
                    <w:top w:val="single" w:color="auto" w:sz="4" w:space="0"/>
                    <w:left w:val="single" w:color="auto" w:sz="4" w:space="0"/>
                    <w:bottom w:val="single" w:color="auto" w:sz="4" w:space="0"/>
                    <w:right w:val="single" w:color="auto" w:sz="4" w:space="0"/>
                  </w:tcBorders>
                  <w:vAlign w:val="center"/>
                </w:tcPr>
                <w:p>
                  <w:pPr>
                    <w:ind w:firstLine="422"/>
                    <w:rPr>
                      <w:rFonts w:ascii="宋体" w:hAnsi="宋体" w:cs="宋体"/>
                      <w:b/>
                      <w:color w:val="0D0D0D" w:themeColor="text1" w:themeTint="F2"/>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2.</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2"/>
                    <w:rPr>
                      <w:rFonts w:ascii="宋体" w:hAnsi="宋体" w:cs="宋体"/>
                      <w:b/>
                      <w:color w:val="0D0D0D" w:themeColor="text1" w:themeTint="F2"/>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主要技术规格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2"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设备功能:白细胞五分类及异常细胞筛选功能及CRP定量检测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2"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▲2.2</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检测参数:检测≥26项参数，并提供4项研究性参数，1个散点图、3个直方图及异常报警信息。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2"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2.3</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检测速度:检测速度≥60T/H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2"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2.4</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通道分类:4DIFF激光通道+BASO阻抗通道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2"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2.5</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内置稀释器:具备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2"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2.6</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分析模式:静脉全血、末梢全血、预稀释模式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2"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▲2.7</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检测血量:全血≤20微升， 预稀释≤20微升，且预稀释末梢血20微升五分类可重复检测一次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2" w:hRule="atLeast"/>
              </w:trPr>
              <w:tc>
                <w:tcPr>
                  <w:tcW w:w="1212"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▲2.8</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测量精度:WBC≤2.5%， RBC≤1.5%， HGB≤1.5%，PLT≤4.0% 、MCV≤1.0%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2"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2.9</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线性范围:WBC（109/L）：0～99.9，RBC（1012/L）：0～8.0，HGB（g/L）：0～250，PLT（109/L）：0～1000；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2"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2.10</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自动休眠:具备休眠功能，保护仪器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2"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▲2.11</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溯源体系:拥有完整的溯源体系，且为原厂生产拥有完整溯源性，溯源性资质获得CNAS权威认证。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2"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2.12</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操作方式:具有独立的全中文操作平台，采用windowXP操作系统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2"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2.13</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温控方式:螺旋式试剂恒温技术，完全避免环境温度的变化对检测结果的影响；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2"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2.14</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防抵死功能:采样针采用测开口设计，防止采样针与样品容器底部抵住后造成吸样不足的误差；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7" w:hRule="atLeast"/>
              </w:trPr>
              <w:tc>
                <w:tcPr>
                  <w:tcW w:w="1212"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2.15</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具备联网功能:具备联网功能，可接入实验室信息管理系统（LIS）或医院信息管理系统（HIS），为临床医疗提供高效率的信息共享服务；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2"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2.16</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进样方式:血常规管全自动连续进样，单次批量进样不少于40个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2"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2.17</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稳压电源:具备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2" w:type="dxa"/>
                  <w:tcBorders>
                    <w:top w:val="single" w:color="auto" w:sz="4" w:space="0"/>
                    <w:left w:val="single" w:color="auto" w:sz="4" w:space="0"/>
                    <w:bottom w:val="single" w:color="auto" w:sz="4" w:space="0"/>
                    <w:right w:val="single" w:color="auto" w:sz="4" w:space="0"/>
                  </w:tcBorders>
                  <w:vAlign w:val="center"/>
                </w:tcPr>
                <w:p>
                  <w:pPr>
                    <w:ind w:firstLine="422"/>
                    <w:rPr>
                      <w:rFonts w:ascii="宋体" w:hAnsi="宋体" w:cs="宋体"/>
                      <w:b/>
                      <w:color w:val="0D0D0D" w:themeColor="text1" w:themeTint="F2"/>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3</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2"/>
                    <w:rPr>
                      <w:rFonts w:ascii="宋体" w:hAnsi="宋体" w:cs="宋体"/>
                      <w:b/>
                      <w:color w:val="0D0D0D" w:themeColor="text1" w:themeTint="F2"/>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配置要求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7" w:hRule="atLeast"/>
              </w:trPr>
              <w:tc>
                <w:tcPr>
                  <w:tcW w:w="1212"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3.1</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主机（封闭试剂） 1台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2"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3.2</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外置条码扫描仪  1台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9" w:hRule="atLeast"/>
              </w:trPr>
              <w:tc>
                <w:tcPr>
                  <w:tcW w:w="1212"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3.3</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国标电源线   1根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1" w:hRule="atLeast"/>
              </w:trPr>
              <w:tc>
                <w:tcPr>
                  <w:tcW w:w="1212"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3.4</w:t>
                  </w:r>
                </w:p>
              </w:tc>
              <w:tc>
                <w:tcPr>
                  <w:tcW w:w="7435" w:type="dxa"/>
                  <w:tcBorders>
                    <w:top w:val="single" w:color="auto" w:sz="4" w:space="0"/>
                    <w:left w:val="single" w:color="auto" w:sz="4" w:space="0"/>
                    <w:bottom w:val="single" w:color="auto" w:sz="4" w:space="0"/>
                    <w:right w:val="single" w:color="auto" w:sz="4" w:space="0"/>
                  </w:tcBorders>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计算机主机（19〞LCD显示器）  1台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1212"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3.5</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装机试剂包  1包</w:t>
                  </w:r>
                </w:p>
              </w:tc>
            </w:tr>
          </w:tbl>
          <w:p>
            <w:pPr>
              <w:ind w:firstLine="420"/>
              <w:rPr>
                <w:color w:val="0D0D0D" w:themeColor="text1" w:themeTint="F2"/>
                <w14:textFill>
                  <w14:solidFill>
                    <w14:schemeClr w14:val="tx1">
                      <w14:lumMod w14:val="95000"/>
                      <w14:lumOff w14:val="5000"/>
                    </w14:schemeClr>
                  </w14:solidFill>
                </w14:textFill>
              </w:rPr>
            </w:pPr>
          </w:p>
          <w:p>
            <w:pPr>
              <w:rPr>
                <w:color w:val="auto"/>
              </w:rPr>
            </w:pPr>
          </w:p>
          <w:p>
            <w:pPr>
              <w:jc w:val="center"/>
              <w:rPr>
                <w:rFonts w:hint="eastAsia" w:ascii="宋体" w:hAnsi="宋体" w:eastAsia="宋体" w:cs="宋体"/>
                <w:i w:val="0"/>
                <w:color w:val="auto"/>
                <w:sz w:val="21"/>
                <w:szCs w:val="21"/>
                <w:u w:val="none"/>
              </w:rPr>
            </w:pPr>
          </w:p>
        </w:tc>
      </w:tr>
      <w:tr>
        <w:tblPrEx>
          <w:tblLayout w:type="fixed"/>
          <w:tblCellMar>
            <w:top w:w="0" w:type="dxa"/>
            <w:left w:w="0" w:type="dxa"/>
            <w:bottom w:w="0" w:type="dxa"/>
            <w:right w:w="0" w:type="dxa"/>
          </w:tblCellMar>
        </w:tblPrEx>
        <w:trPr>
          <w:trHeight w:val="285" w:hRule="atLeast"/>
        </w:trPr>
        <w:tc>
          <w:tcPr>
            <w:tcW w:w="9337"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kern w:val="0"/>
                <w:sz w:val="21"/>
                <w:szCs w:val="21"/>
                <w:u w:val="none"/>
                <w:lang w:val="en-US" w:eastAsia="zh-CN" w:bidi="ar"/>
              </w:rPr>
            </w:pPr>
          </w:p>
        </w:tc>
      </w:tr>
    </w:tbl>
    <w:p>
      <w:pPr>
        <w:pStyle w:val="5"/>
        <w:rPr>
          <w:rFonts w:hint="eastAsia" w:cs="宋体" w:asciiTheme="minorEastAsia" w:hAnsiTheme="minorEastAsia" w:eastAsiaTheme="minorEastAsia"/>
          <w:color w:val="auto"/>
          <w:szCs w:val="21"/>
          <w:lang w:val="en-US" w:eastAsia="zh-CN"/>
        </w:rPr>
      </w:pPr>
      <w:bookmarkStart w:id="89" w:name="_Toc179"/>
    </w:p>
    <w:p>
      <w:pPr>
        <w:pStyle w:val="5"/>
        <w:rPr>
          <w:rFonts w:hint="eastAsia" w:cs="宋体" w:asciiTheme="minorEastAsia" w:hAnsiTheme="minorEastAsia" w:eastAsiaTheme="minorEastAsia"/>
          <w:color w:val="auto"/>
          <w:szCs w:val="21"/>
          <w:lang w:val="en-US" w:eastAsia="zh-CN"/>
        </w:rPr>
        <w:sectPr>
          <w:headerReference r:id="rId15" w:type="default"/>
          <w:footerReference r:id="rId16" w:type="default"/>
          <w:pgSz w:w="11907" w:h="16840"/>
          <w:pgMar w:top="1247" w:right="1304" w:bottom="1020" w:left="1304" w:header="720" w:footer="720" w:gutter="0"/>
          <w:cols w:space="720" w:num="1"/>
        </w:sectPr>
      </w:pPr>
    </w:p>
    <w:p>
      <w:pPr>
        <w:pStyle w:val="5"/>
        <w:jc w:val="center"/>
        <w:rPr>
          <w:rFonts w:hint="eastAsia"/>
          <w:b/>
          <w:bCs/>
          <w:color w:val="auto"/>
          <w:sz w:val="21"/>
          <w:szCs w:val="21"/>
        </w:rPr>
      </w:pPr>
      <w:r>
        <w:rPr>
          <w:rFonts w:hint="eastAsia"/>
          <w:b/>
          <w:bCs/>
          <w:color w:val="auto"/>
          <w:sz w:val="21"/>
          <w:szCs w:val="21"/>
        </w:rPr>
        <w:t>全自动凝血分析系统招标参数</w:t>
      </w:r>
    </w:p>
    <w:p>
      <w:pPr>
        <w:pStyle w:val="2"/>
        <w:rPr>
          <w:rFonts w:hint="eastAsia"/>
          <w:b/>
          <w:bCs/>
          <w:color w:val="auto"/>
          <w:sz w:val="21"/>
          <w:szCs w:val="21"/>
        </w:rPr>
      </w:pPr>
    </w:p>
    <w:tbl>
      <w:tblPr>
        <w:tblStyle w:val="26"/>
        <w:tblpPr w:leftFromText="180" w:rightFromText="180" w:vertAnchor="page" w:horzAnchor="margin" w:tblpY="1726"/>
        <w:tblW w:w="95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5"/>
        <w:gridCol w:w="829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225" w:type="dxa"/>
            <w:vAlign w:val="center"/>
          </w:tcPr>
          <w:p>
            <w:pPr>
              <w:pStyle w:val="10"/>
              <w:ind w:firstLine="0" w:firstLineChars="0"/>
              <w:jc w:val="center"/>
              <w:rPr>
                <w:rFonts w:ascii="宋体" w:hAnsi="宋体" w:cs="宋体"/>
                <w:b/>
                <w:bCs/>
                <w:caps/>
                <w:color w:val="0D0D0D" w:themeColor="text1" w:themeTint="F2"/>
                <w:sz w:val="21"/>
                <w:szCs w:val="21"/>
                <w14:textFill>
                  <w14:solidFill>
                    <w14:schemeClr w14:val="tx1">
                      <w14:lumMod w14:val="95000"/>
                      <w14:lumOff w14:val="5000"/>
                    </w14:schemeClr>
                  </w14:solidFill>
                </w14:textFill>
              </w:rPr>
            </w:pPr>
            <w:r>
              <w:rPr>
                <w:rFonts w:hint="eastAsia" w:ascii="宋体" w:hAnsi="宋体" w:cs="宋体"/>
                <w:b/>
                <w:bCs/>
                <w:caps/>
                <w:color w:val="0D0D0D" w:themeColor="text1" w:themeTint="F2"/>
                <w:sz w:val="21"/>
                <w:szCs w:val="21"/>
                <w14:textFill>
                  <w14:solidFill>
                    <w14:schemeClr w14:val="tx1">
                      <w14:lumMod w14:val="95000"/>
                      <w14:lumOff w14:val="5000"/>
                    </w14:schemeClr>
                  </w14:solidFill>
                </w14:textFill>
              </w:rPr>
              <w:t>序号</w:t>
            </w:r>
          </w:p>
        </w:tc>
        <w:tc>
          <w:tcPr>
            <w:tcW w:w="8290" w:type="dxa"/>
            <w:vAlign w:val="center"/>
          </w:tcPr>
          <w:p>
            <w:pPr>
              <w:pStyle w:val="10"/>
              <w:ind w:firstLine="0" w:firstLineChars="0"/>
              <w:jc w:val="center"/>
              <w:rPr>
                <w:rFonts w:ascii="宋体" w:hAnsi="宋体" w:cs="宋体"/>
                <w:b/>
                <w:bCs/>
                <w:caps/>
                <w:color w:val="0D0D0D" w:themeColor="text1" w:themeTint="F2"/>
                <w:sz w:val="21"/>
                <w:szCs w:val="21"/>
                <w14:textFill>
                  <w14:solidFill>
                    <w14:schemeClr w14:val="tx1">
                      <w14:lumMod w14:val="95000"/>
                      <w14:lumOff w14:val="5000"/>
                    </w14:schemeClr>
                  </w14:solidFill>
                </w14:textFill>
              </w:rPr>
            </w:pPr>
            <w:r>
              <w:rPr>
                <w:rFonts w:hint="eastAsia" w:ascii="宋体" w:hAnsi="宋体" w:cs="宋体"/>
                <w:b/>
                <w:bCs/>
                <w:color w:val="0D0D0D" w:themeColor="text1" w:themeTint="F2"/>
                <w:sz w:val="21"/>
                <w:szCs w:val="21"/>
                <w14:textFill>
                  <w14:solidFill>
                    <w14:schemeClr w14:val="tx1">
                      <w14:lumMod w14:val="95000"/>
                      <w14:lumOff w14:val="5000"/>
                    </w14:schemeClr>
                  </w14:solidFill>
                </w14:textFill>
              </w:rPr>
              <w:t>技术参数要求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225"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w:t>
            </w:r>
          </w:p>
        </w:tc>
        <w:tc>
          <w:tcPr>
            <w:tcW w:w="8290"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全自动凝血分析系统一台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225"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w:t>
            </w:r>
          </w:p>
        </w:tc>
        <w:tc>
          <w:tcPr>
            <w:tcW w:w="8290"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检测针、样本针各自独立</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225" w:type="dxa"/>
            <w:vAlign w:val="center"/>
          </w:tcPr>
          <w:p>
            <w:pPr>
              <w:ind w:firstLine="420"/>
              <w:jc w:val="center"/>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★3</w:t>
            </w:r>
          </w:p>
        </w:tc>
        <w:tc>
          <w:tcPr>
            <w:tcW w:w="8290"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方法学的血栓/止血分析系统：包括凝固法、发色底物法、免疫比浊法检测，可开展PT/APTT/TT/Fbg,因子VIII,D-二聚体，FDP等项目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91" w:hRule="atLeast"/>
        </w:trPr>
        <w:tc>
          <w:tcPr>
            <w:tcW w:w="1225"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w:t>
            </w:r>
          </w:p>
        </w:tc>
        <w:tc>
          <w:tcPr>
            <w:tcW w:w="8290"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可提供凝固曲线波形分析功能：根据对凝固曲线的求导分析，在不增加实验室的额外成本情况下提供更多止凝血系统疾病的信息。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225"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5</w:t>
            </w:r>
          </w:p>
        </w:tc>
        <w:tc>
          <w:tcPr>
            <w:tcW w:w="8290"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可提供混合交叉试验功能：协助判断APTT延长的原因是因子缺乏或者抑制物的存在。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225"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6</w:t>
            </w:r>
          </w:p>
        </w:tc>
        <w:tc>
          <w:tcPr>
            <w:tcW w:w="8290"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采用全自动进样架方式进样，样品位≥50个，连续循环进样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225" w:type="dxa"/>
            <w:vAlign w:val="center"/>
          </w:tcPr>
          <w:p>
            <w:pPr>
              <w:ind w:firstLine="735" w:firstLineChars="35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7</w:t>
            </w:r>
          </w:p>
        </w:tc>
        <w:tc>
          <w:tcPr>
            <w:tcW w:w="8290"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试剂位≥45个，其中试剂冷藏位≥40个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225"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★8</w:t>
            </w:r>
          </w:p>
        </w:tc>
        <w:tc>
          <w:tcPr>
            <w:tcW w:w="8290"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试剂舱温度控制在≤10摄氏度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225"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★9</w:t>
            </w:r>
          </w:p>
        </w:tc>
        <w:tc>
          <w:tcPr>
            <w:tcW w:w="8290"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反应杯单个独立，一次放置≥500个，可自动连续排列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225"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10</w:t>
            </w:r>
          </w:p>
        </w:tc>
        <w:tc>
          <w:tcPr>
            <w:tcW w:w="8290"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所有检测程序可自由设定修改，可随意选择试剂、随意开展项目，实现全开放</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225"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11</w:t>
            </w:r>
          </w:p>
        </w:tc>
        <w:tc>
          <w:tcPr>
            <w:tcW w:w="8290"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仪器拥有PT演算纤维蛋白原与Clauss法实测纤维蛋白原两种方法</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225"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12</w:t>
            </w:r>
          </w:p>
        </w:tc>
        <w:tc>
          <w:tcPr>
            <w:tcW w:w="8290"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专用急诊位≥5个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225" w:type="dxa"/>
            <w:vAlign w:val="center"/>
          </w:tcPr>
          <w:p>
            <w:pPr>
              <w:ind w:firstLine="48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w:t>
            </w:r>
            <w:r>
              <w:rPr>
                <w:rFonts w:hint="eastAsia" w:ascii="宋体" w:hAnsi="宋体" w:cs="宋体"/>
                <w:color w:val="0D0D0D" w:themeColor="text1" w:themeTint="F2"/>
                <w:szCs w:val="21"/>
                <w14:textFill>
                  <w14:solidFill>
                    <w14:schemeClr w14:val="tx1">
                      <w14:lumMod w14:val="95000"/>
                      <w14:lumOff w14:val="5000"/>
                    </w14:schemeClr>
                  </w14:solidFill>
                </w14:textFill>
              </w:rPr>
              <w:t>13</w:t>
            </w:r>
          </w:p>
        </w:tc>
        <w:tc>
          <w:tcPr>
            <w:tcW w:w="8290"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溶血（H）、黄疸（I）、脂血（L）样本监测功能：能自动监测并提示样本是否为溶血、黄疸或脂血标本</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225"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14</w:t>
            </w:r>
          </w:p>
        </w:tc>
        <w:tc>
          <w:tcPr>
            <w:tcW w:w="8290"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检测波长≥5个：340nm/405nm/575nm/660nm/800nm五个检测波长，并且可根据HIL智能监测结果自动调整检测波长。不仅有效避免溶血、黄疸、脂血对检测结果的干扰，更可大大提高低纤维蛋白原标本的检测灵敏度。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225"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15</w:t>
            </w:r>
          </w:p>
        </w:tc>
        <w:tc>
          <w:tcPr>
            <w:tcW w:w="8290"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检测通道≥10个：凝固法、发色底物法和免疫比浊法三种方法学均有10个检测通道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225"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16</w:t>
            </w:r>
          </w:p>
        </w:tc>
        <w:tc>
          <w:tcPr>
            <w:tcW w:w="8290"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PT检测速度≥180测试/小时；D-二聚体检测速度≥90测试/小时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225"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17</w:t>
            </w:r>
          </w:p>
        </w:tc>
        <w:tc>
          <w:tcPr>
            <w:tcW w:w="8290"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试剂信息自动扫描、报警、容量提示功能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225"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18</w:t>
            </w:r>
          </w:p>
        </w:tc>
        <w:tc>
          <w:tcPr>
            <w:tcW w:w="8290"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自动稀释、自动连锁筛选、自动再检功能、自动多点定标功能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225"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w:t>
            </w:r>
          </w:p>
        </w:tc>
        <w:tc>
          <w:tcPr>
            <w:tcW w:w="8290"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可同时测定项目数≥60个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225"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20</w:t>
            </w:r>
          </w:p>
        </w:tc>
        <w:tc>
          <w:tcPr>
            <w:tcW w:w="8290"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质量控制：750个文件的X－bar/L-J管理，可通过westguard rules 进行监测</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225"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w:t>
            </w:r>
          </w:p>
        </w:tc>
        <w:tc>
          <w:tcPr>
            <w:tcW w:w="8290"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实时在线质控管理功能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225"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p>
        </w:tc>
        <w:tc>
          <w:tcPr>
            <w:tcW w:w="8290" w:type="dxa"/>
            <w:vAlign w:val="center"/>
          </w:tcPr>
          <w:p>
            <w:pPr>
              <w:ind w:firstLine="422"/>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配置要求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225"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w:t>
            </w:r>
          </w:p>
        </w:tc>
        <w:tc>
          <w:tcPr>
            <w:tcW w:w="8290"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主机一套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225"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w:t>
            </w:r>
          </w:p>
        </w:tc>
        <w:tc>
          <w:tcPr>
            <w:tcW w:w="8290"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空气压缩机一套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225"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3</w:t>
            </w:r>
          </w:p>
        </w:tc>
        <w:tc>
          <w:tcPr>
            <w:tcW w:w="8290"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附件箱一套</w:t>
            </w:r>
          </w:p>
        </w:tc>
      </w:tr>
    </w:tbl>
    <w:p>
      <w:pPr>
        <w:pStyle w:val="2"/>
        <w:jc w:val="center"/>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page"/>
      </w:r>
    </w:p>
    <w:p>
      <w:pPr>
        <w:pStyle w:val="2"/>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全自动生化分析仪招标参数</w:t>
      </w:r>
    </w:p>
    <w:p>
      <w:pPr>
        <w:pStyle w:val="2"/>
        <w:jc w:val="center"/>
        <w:rPr>
          <w:rFonts w:hint="eastAsia" w:ascii="宋体" w:hAnsi="宋体" w:eastAsia="宋体" w:cs="宋体"/>
          <w:b/>
          <w:bCs/>
          <w:color w:val="auto"/>
          <w:sz w:val="21"/>
          <w:szCs w:val="21"/>
        </w:rPr>
      </w:pPr>
    </w:p>
    <w:tbl>
      <w:tblPr>
        <w:tblStyle w:val="26"/>
        <w:tblpPr w:leftFromText="180" w:rightFromText="180" w:horzAnchor="margin" w:tblpY="900"/>
        <w:tblW w:w="95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1"/>
        <w:gridCol w:w="814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pStyle w:val="10"/>
              <w:ind w:firstLine="0" w:firstLineChars="0"/>
              <w:jc w:val="center"/>
              <w:rPr>
                <w:rFonts w:ascii="宋体" w:hAnsi="宋体" w:cs="宋体"/>
                <w:b/>
                <w:bCs/>
                <w:caps/>
                <w:color w:val="0D0D0D" w:themeColor="text1" w:themeTint="F2"/>
                <w:sz w:val="21"/>
                <w:szCs w:val="21"/>
                <w14:textFill>
                  <w14:solidFill>
                    <w14:schemeClr w14:val="tx1">
                      <w14:lumMod w14:val="95000"/>
                      <w14:lumOff w14:val="5000"/>
                    </w14:schemeClr>
                  </w14:solidFill>
                </w14:textFill>
              </w:rPr>
            </w:pPr>
            <w:r>
              <w:rPr>
                <w:rFonts w:hint="eastAsia" w:ascii="宋体" w:hAnsi="宋体" w:cs="宋体"/>
                <w:b/>
                <w:bCs/>
                <w:caps/>
                <w:color w:val="0D0D0D" w:themeColor="text1" w:themeTint="F2"/>
                <w:sz w:val="21"/>
                <w:szCs w:val="21"/>
                <w14:textFill>
                  <w14:solidFill>
                    <w14:schemeClr w14:val="tx1">
                      <w14:lumMod w14:val="95000"/>
                      <w14:lumOff w14:val="5000"/>
                    </w14:schemeClr>
                  </w14:solidFill>
                </w14:textFill>
              </w:rPr>
              <w:t>序号</w:t>
            </w:r>
          </w:p>
        </w:tc>
        <w:tc>
          <w:tcPr>
            <w:tcW w:w="8144" w:type="dxa"/>
            <w:vAlign w:val="center"/>
          </w:tcPr>
          <w:p>
            <w:pPr>
              <w:pStyle w:val="10"/>
              <w:ind w:firstLine="0" w:firstLineChars="0"/>
              <w:jc w:val="center"/>
              <w:rPr>
                <w:rFonts w:ascii="宋体" w:hAnsi="宋体" w:cs="宋体"/>
                <w:b/>
                <w:bCs/>
                <w:caps/>
                <w:color w:val="0D0D0D" w:themeColor="text1" w:themeTint="F2"/>
                <w:sz w:val="21"/>
                <w:szCs w:val="21"/>
                <w14:textFill>
                  <w14:solidFill>
                    <w14:schemeClr w14:val="tx1">
                      <w14:lumMod w14:val="95000"/>
                      <w14:lumOff w14:val="5000"/>
                    </w14:schemeClr>
                  </w14:solidFill>
                </w14:textFill>
              </w:rPr>
            </w:pPr>
            <w:r>
              <w:rPr>
                <w:rFonts w:hint="eastAsia" w:ascii="宋体" w:hAnsi="宋体" w:cs="宋体"/>
                <w:b/>
                <w:bCs/>
                <w:color w:val="0D0D0D" w:themeColor="text1" w:themeTint="F2"/>
                <w:sz w:val="21"/>
                <w:szCs w:val="21"/>
                <w14:textFill>
                  <w14:solidFill>
                    <w14:schemeClr w14:val="tx1">
                      <w14:lumMod w14:val="95000"/>
                      <w14:lumOff w14:val="5000"/>
                    </w14:schemeClr>
                  </w14:solidFill>
                </w14:textFill>
              </w:rPr>
              <w:t>技术参数要求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全自动生化分析仪一台；分析速度：分光光度法≥400测试/小时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检测项目：生化，免疫，肿瘤标记物，药物检测，毒品检测，电解质检测，同工酶测定，脂类测定等。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3</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分析方法：终点法，速率法，固定时间法等。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同时检测项目： ≥60项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5</w:t>
            </w:r>
          </w:p>
        </w:tc>
        <w:tc>
          <w:tcPr>
            <w:tcW w:w="8144" w:type="dxa"/>
            <w:vAlign w:val="center"/>
          </w:tcPr>
          <w:p>
            <w:pPr>
              <w:adjustRightInd w:val="0"/>
              <w:snapToGrid w:val="0"/>
              <w:spacing w:line="336" w:lineRule="auto"/>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最小样品体积： ≤1.6ul，0.1ul步进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6</w:t>
            </w:r>
          </w:p>
        </w:tc>
        <w:tc>
          <w:tcPr>
            <w:tcW w:w="8144" w:type="dxa"/>
            <w:vAlign w:val="center"/>
          </w:tcPr>
          <w:p>
            <w:pPr>
              <w:adjustRightInd w:val="0"/>
              <w:snapToGrid w:val="0"/>
              <w:spacing w:line="336" w:lineRule="auto"/>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最小总反应体积：≤90ul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★7</w:t>
            </w:r>
          </w:p>
        </w:tc>
        <w:tc>
          <w:tcPr>
            <w:tcW w:w="8144" w:type="dxa"/>
            <w:vAlign w:val="center"/>
          </w:tcPr>
          <w:p>
            <w:pPr>
              <w:adjustRightInd w:val="0"/>
              <w:snapToGrid w:val="0"/>
              <w:spacing w:line="336" w:lineRule="auto"/>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进样方式：轨道式进样，标本容量≥80个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8</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孵育温度：37℃</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★9</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恒温孵育系统： 干式恒温系统或非接触式液体恒温系统，终身提供恒温系统所需恒温液；比色杯：硬质石英玻璃杯，终生免费提供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10</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急诊功能：独立急诊样品转盘随机插入急诊样本</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11</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质控和校准管理：使用独立冷藏样品盘，质控和定标可随时测定</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12</w:t>
            </w:r>
          </w:p>
        </w:tc>
        <w:tc>
          <w:tcPr>
            <w:tcW w:w="8144" w:type="dxa"/>
            <w:vAlign w:val="center"/>
          </w:tcPr>
          <w:p>
            <w:pPr>
              <w:adjustRightInd w:val="0"/>
              <w:snapToGrid w:val="0"/>
              <w:spacing w:line="336" w:lineRule="auto"/>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光路系统： 光栅后分光，单双波长检测</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13</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检测波长：≥13个固定波长，波长范围340－800nm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14</w:t>
            </w:r>
          </w:p>
        </w:tc>
        <w:tc>
          <w:tcPr>
            <w:tcW w:w="8144" w:type="dxa"/>
            <w:vAlign w:val="center"/>
          </w:tcPr>
          <w:p>
            <w:pPr>
              <w:adjustRightInd w:val="0"/>
              <w:snapToGrid w:val="0"/>
              <w:spacing w:line="336" w:lineRule="auto"/>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探针功能：具有样品探针液面探测及防撞保护功能、防堵针报警及自动处理功能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15</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样品质量监测功能：具备乳糜血，黄疸，溶血，血凝块及纤维蛋白探测及报警和自动处理能力。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16</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操作系统： Windows-XP，具有远程诊断功能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17</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试剂系统：试剂系统完全开放，且具备与仪器同品牌的原装配套试剂、校准品和质控品，具有溯源性</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18</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电解质模块基本功能及要求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630" w:firstLineChars="3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18.1</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测试项目：</w:t>
            </w:r>
            <w:r>
              <w:rPr>
                <w:rFonts w:hint="eastAsia" w:ascii="宋体" w:hAnsi="宋体" w:cs="宋体"/>
                <w:color w:val="0D0D0D" w:themeColor="text1" w:themeTint="F2"/>
                <w:szCs w:val="21"/>
                <w14:textFill>
                  <w14:solidFill>
                    <w14:schemeClr w14:val="tx1">
                      <w14:lumMod w14:val="95000"/>
                      <w14:lumOff w14:val="5000"/>
                    </w14:schemeClr>
                  </w14:solidFill>
                </w14:textFill>
              </w:rPr>
              <w:t>K、Na、Cl、Ca、pH</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18.2</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适用样品：</w:t>
            </w:r>
            <w:r>
              <w:rPr>
                <w:rFonts w:hint="eastAsia" w:ascii="宋体" w:hAnsi="宋体" w:cs="宋体"/>
                <w:color w:val="0D0D0D" w:themeColor="text1" w:themeTint="F2"/>
                <w:szCs w:val="21"/>
                <w14:textFill>
                  <w14:solidFill>
                    <w14:schemeClr w14:val="tx1">
                      <w14:lumMod w14:val="95000"/>
                      <w14:lumOff w14:val="5000"/>
                    </w14:schemeClr>
                  </w14:solidFill>
                </w14:textFill>
              </w:rPr>
              <w:t>血清、血浆、全血、脑脊液及稀释尿液</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18.3</w:t>
            </w:r>
          </w:p>
        </w:tc>
        <w:tc>
          <w:tcPr>
            <w:tcW w:w="8144" w:type="dxa"/>
            <w:vAlign w:val="center"/>
          </w:tcPr>
          <w:p>
            <w:pPr>
              <w:tabs>
                <w:tab w:val="left" w:pos="2520"/>
              </w:tabs>
              <w:ind w:firstLine="420"/>
              <w:rPr>
                <w:rFonts w:ascii="宋体" w:hAnsi="宋体" w:cs="宋体"/>
                <w:bCs/>
                <w:color w:val="0D0D0D" w:themeColor="text1" w:themeTint="F2"/>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测量技术：</w:t>
            </w:r>
            <w:r>
              <w:rPr>
                <w:rFonts w:hint="eastAsia" w:ascii="宋体" w:hAnsi="宋体" w:cs="宋体"/>
                <w:color w:val="0D0D0D" w:themeColor="text1" w:themeTint="F2"/>
                <w:szCs w:val="21"/>
                <w14:textFill>
                  <w14:solidFill>
                    <w14:schemeClr w14:val="tx1">
                      <w14:lumMod w14:val="95000"/>
                      <w14:lumOff w14:val="5000"/>
                    </w14:schemeClr>
                  </w14:solidFill>
                </w14:textFill>
              </w:rPr>
              <w:t>离子选择性电极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18.4</w:t>
            </w:r>
          </w:p>
        </w:tc>
        <w:tc>
          <w:tcPr>
            <w:tcW w:w="8144" w:type="dxa"/>
            <w:vAlign w:val="center"/>
          </w:tcPr>
          <w:p>
            <w:pPr>
              <w:tabs>
                <w:tab w:val="left" w:pos="2520"/>
              </w:tabs>
              <w:ind w:firstLine="420"/>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测量范围、分辨率及精度：</w:t>
            </w:r>
          </w:p>
          <w:p>
            <w:pPr>
              <w:tabs>
                <w:tab w:val="left" w:pos="540"/>
              </w:tabs>
              <w:spacing w:line="420" w:lineRule="exact"/>
              <w:ind w:left="178" w:leftChars="85" w:right="178" w:rightChars="85" w:firstLine="422"/>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 xml:space="preserve">   </w:t>
            </w:r>
            <w:r>
              <w:rPr>
                <w:rFonts w:hint="eastAsia" w:ascii="宋体" w:hAnsi="宋体" w:cs="宋体"/>
                <w:color w:val="0D0D0D" w:themeColor="text1" w:themeTint="F2"/>
                <w:szCs w:val="21"/>
                <w14:textFill>
                  <w14:solidFill>
                    <w14:schemeClr w14:val="tx1">
                      <w14:lumMod w14:val="95000"/>
                      <w14:lumOff w14:val="5000"/>
                    </w14:schemeClr>
                  </w14:solidFill>
                </w14:textFill>
              </w:rPr>
              <w:t>测量范围              分辨率          测量精度（CV%）</w:t>
            </w:r>
          </w:p>
          <w:p>
            <w:pPr>
              <w:tabs>
                <w:tab w:val="left" w:pos="540"/>
                <w:tab w:val="left" w:pos="900"/>
                <w:tab w:val="left" w:pos="7560"/>
              </w:tabs>
              <w:spacing w:line="380" w:lineRule="exact"/>
              <w:ind w:right="178" w:rightChars="85"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K      0.5—20.0mmol/L      0.01mmol/L        ≤1.0% </w:t>
            </w:r>
          </w:p>
          <w:p>
            <w:pPr>
              <w:tabs>
                <w:tab w:val="left" w:pos="540"/>
                <w:tab w:val="left" w:pos="900"/>
                <w:tab w:val="left" w:pos="7560"/>
              </w:tabs>
              <w:spacing w:line="380" w:lineRule="exact"/>
              <w:ind w:right="178" w:rightChars="85"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Na     20—200mmol/L        0.01mmol/L        ≤1.0%</w:t>
            </w:r>
          </w:p>
          <w:p>
            <w:pPr>
              <w:tabs>
                <w:tab w:val="left" w:pos="540"/>
                <w:tab w:val="left" w:pos="900"/>
              </w:tabs>
              <w:spacing w:line="380" w:lineRule="exact"/>
              <w:ind w:right="178" w:rightChars="85"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Cl     20—200mmol/L        0.01mmol/L        ≤1.0%</w:t>
            </w:r>
          </w:p>
          <w:p>
            <w:pPr>
              <w:tabs>
                <w:tab w:val="left" w:pos="540"/>
                <w:tab w:val="left" w:pos="900"/>
              </w:tabs>
              <w:spacing w:line="380" w:lineRule="exact"/>
              <w:ind w:right="178" w:rightChars="85"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Ca     0.1—6.0mmol/L       0.01mmol/L        ≤1.5%</w:t>
            </w:r>
          </w:p>
          <w:p>
            <w:pPr>
              <w:tabs>
                <w:tab w:val="left" w:pos="540"/>
                <w:tab w:val="left" w:pos="900"/>
              </w:tabs>
              <w:spacing w:line="420" w:lineRule="exact"/>
              <w:ind w:right="178" w:rightChars="85"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pH      4—9pH units        0.01pH units      ≤1.5%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18.5</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样品用量：</w:t>
            </w:r>
            <w:r>
              <w:rPr>
                <w:rFonts w:hint="eastAsia" w:ascii="宋体" w:hAnsi="宋体" w:cs="宋体"/>
                <w:color w:val="0D0D0D" w:themeColor="text1" w:themeTint="F2"/>
                <w:szCs w:val="21"/>
                <w14:textFill>
                  <w14:solidFill>
                    <w14:schemeClr w14:val="tx1">
                      <w14:lumMod w14:val="95000"/>
                      <w14:lumOff w14:val="5000"/>
                    </w14:schemeClr>
                  </w14:solidFill>
                </w14:textFill>
              </w:rPr>
              <w:t>60-80ul</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18.6</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环境温度：</w:t>
            </w:r>
            <w:r>
              <w:rPr>
                <w:rFonts w:hint="eastAsia" w:ascii="宋体" w:hAnsi="宋体" w:cs="宋体"/>
                <w:color w:val="0D0D0D" w:themeColor="text1" w:themeTint="F2"/>
                <w:szCs w:val="21"/>
                <w14:textFill>
                  <w14:solidFill>
                    <w14:schemeClr w14:val="tx1">
                      <w14:lumMod w14:val="95000"/>
                      <w14:lumOff w14:val="5000"/>
                    </w14:schemeClr>
                  </w14:solidFill>
                </w14:textFill>
              </w:rPr>
              <w:t>0-40</w:t>
            </w:r>
            <w:r>
              <w:rPr>
                <w:rFonts w:hint="eastAsia" w:ascii="宋体" w:hAnsi="宋体" w:cs="宋体"/>
                <w:color w:val="0D0D0D" w:themeColor="text1" w:themeTint="F2"/>
                <w:szCs w:val="21"/>
                <w:vertAlign w:val="superscript"/>
                <w14:textFill>
                  <w14:solidFill>
                    <w14:schemeClr w14:val="tx1">
                      <w14:lumMod w14:val="95000"/>
                      <w14:lumOff w14:val="5000"/>
                    </w14:schemeClr>
                  </w14:solidFill>
                </w14:textFill>
              </w:rPr>
              <w:t>。</w:t>
            </w:r>
            <w:r>
              <w:rPr>
                <w:rFonts w:hint="eastAsia" w:ascii="宋体" w:hAnsi="宋体" w:cs="宋体"/>
                <w:color w:val="0D0D0D" w:themeColor="text1" w:themeTint="F2"/>
                <w:szCs w:val="21"/>
                <w14:textFill>
                  <w14:solidFill>
                    <w14:schemeClr w14:val="tx1">
                      <w14:lumMod w14:val="95000"/>
                      <w14:lumOff w14:val="5000"/>
                    </w14:schemeClr>
                  </w14:solidFill>
                </w14:textFill>
              </w:rPr>
              <w:t>C</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18.7</w:t>
            </w:r>
          </w:p>
        </w:tc>
        <w:tc>
          <w:tcPr>
            <w:tcW w:w="8144" w:type="dxa"/>
            <w:vAlign w:val="center"/>
          </w:tcPr>
          <w:p>
            <w:pPr>
              <w:spacing w:line="420" w:lineRule="exact"/>
              <w:ind w:right="178" w:rightChars="85"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分析速度：≤25秒</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18.8</w:t>
            </w:r>
          </w:p>
        </w:tc>
        <w:tc>
          <w:tcPr>
            <w:tcW w:w="8144" w:type="dxa"/>
            <w:vAlign w:val="center"/>
          </w:tcPr>
          <w:p>
            <w:pPr>
              <w:spacing w:line="420" w:lineRule="exact"/>
              <w:ind w:right="178" w:rightChars="85"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外部接口: RS232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18.9</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电源要求：</w:t>
            </w:r>
            <w:r>
              <w:rPr>
                <w:rFonts w:hint="eastAsia" w:ascii="宋体" w:hAnsi="宋体" w:cs="宋体"/>
                <w:color w:val="0D0D0D" w:themeColor="text1" w:themeTint="F2"/>
                <w:szCs w:val="21"/>
                <w14:textFill>
                  <w14:solidFill>
                    <w14:schemeClr w14:val="tx1">
                      <w14:lumMod w14:val="95000"/>
                      <w14:lumOff w14:val="5000"/>
                    </w14:schemeClr>
                  </w14:solidFill>
                </w14:textFill>
              </w:rPr>
              <w:t>220V±20V  50Hz-60Hz</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★18.10</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仪器仅设YES、NO二个触摸按键，全中文菜单，故障自动提示及排除，操作简便</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18.11</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样品量小，采用独有的前后双定位技术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18.12</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独创的波浪理论冲洗及直冲式进样管方式等国际专利技术，杜绝了堵塞和交叉污染现象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18.13</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样品分析后仪器便自动冲洗，确保电极清洁及处于备用状态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18.14</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储存功能：可存储1000个检测结果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18.15</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具有猫、狗、兔 、猴、大鼠、小鼠、豚鼠七种基本分析模式，并可按用户需求任意扩展</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18.16</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仪器设有质控校正程序，自动校正测量数据，并可进行斜度和均差双参数校正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18.17</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仪器具有断电保护功能，断电后仍可储存质控和样品数据，储存时间长达五年以上</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18.18</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仪器可24小时开机，长时间不操作即转入待机状态，保证仪器随时使用，也可长时间关机，节约试剂，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18.19</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试剂具有单独的注册证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离心机模块基本功能及要求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19.1</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交流变频无刷免维护电机驱动，微电脑程序控制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19.2</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转速/离心力互设，液晶显示，制动转换功能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19.3</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自动平衡、自动锁盖，内锁装置确保安全操作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19.4</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具有停机软制动防回荡功能，防止液体浑浊</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19.5</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飞梳键参数设定方便简洁，9个程序存储空间9级加减速度控制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19.6</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最高转速（max.speed)：5000r/min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19.7</w:t>
            </w:r>
          </w:p>
        </w:tc>
        <w:tc>
          <w:tcPr>
            <w:tcW w:w="8144" w:type="dxa"/>
            <w:vAlign w:val="center"/>
          </w:tcPr>
          <w:p>
            <w:pPr>
              <w:snapToGrid w:val="0"/>
              <w:spacing w:after="156" w:afterLines="50"/>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最大相对离心力(max.rcf)：4470×g</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19.8</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噪音（Noise）：≤60dB</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19.9</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升速时间：＜35s    降速时间：＜45s（制动模式）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19.10</w:t>
            </w:r>
          </w:p>
        </w:tc>
        <w:tc>
          <w:tcPr>
            <w:tcW w:w="8144" w:type="dxa"/>
            <w:vAlign w:val="center"/>
          </w:tcPr>
          <w:p>
            <w:pPr>
              <w:snapToGrid w:val="0"/>
              <w:spacing w:after="156" w:afterLines="50"/>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转速精度 Speed Accuracy：±10 r/min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19.11</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配置：15ml*16支 ；5ml*40支 ; 50ml*8支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20</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全自动动态血沉测试仪模块基本功能及要求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20.1</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测试通道：</w:t>
            </w:r>
            <w:r>
              <w:rPr>
                <w:rFonts w:hint="eastAsia" w:ascii="宋体" w:hAnsi="宋体" w:cs="宋体"/>
                <w:color w:val="0D0D0D" w:themeColor="text1" w:themeTint="F2"/>
                <w:szCs w:val="21"/>
                <w14:textFill>
                  <w14:solidFill>
                    <w14:schemeClr w14:val="tx1">
                      <w14:lumMod w14:val="95000"/>
                      <w14:lumOff w14:val="5000"/>
                    </w14:schemeClr>
                  </w14:solidFill>
                </w14:textFill>
              </w:rPr>
              <w:t>≥</w:t>
            </w:r>
            <w:r>
              <w:rPr>
                <w:rFonts w:hint="eastAsia" w:ascii="宋体" w:hAnsi="宋体" w:cs="宋体"/>
                <w:bCs/>
                <w:color w:val="0D0D0D" w:themeColor="text1" w:themeTint="F2"/>
                <w:szCs w:val="21"/>
                <w14:textFill>
                  <w14:solidFill>
                    <w14:schemeClr w14:val="tx1">
                      <w14:lumMod w14:val="95000"/>
                      <w14:lumOff w14:val="5000"/>
                    </w14:schemeClr>
                  </w14:solidFill>
                </w14:textFill>
              </w:rPr>
              <w:t>20管     测试时间：≤30min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20.2</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各通道一致性：±5%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20.3</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准确度：±5%    重复性误差：≤3%</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★20.4</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采样间隔：≤2.5 min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20.5</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温控精度：±0.5℃（室温）</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20.6</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测量参数： ESR红细胞沉降值，mm/h</w:t>
            </w:r>
          </w:p>
          <w:p>
            <w:pPr>
              <w:ind w:firstLine="1050" w:firstLineChars="5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红细胞沉降随时间变化曲线</w:t>
            </w:r>
          </w:p>
          <w:p>
            <w:pPr>
              <w:ind w:firstLine="1050" w:firstLineChars="5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HCT红细胞压积值 %</w:t>
            </w:r>
          </w:p>
          <w:p>
            <w:pPr>
              <w:ind w:firstLine="1050" w:firstLineChars="5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ESR.K血沉方程K值</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20.7</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多参数动态扫描红细胞沉降全过程</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20.8</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多通道自动感应 报告红细胞压积值</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20.9</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采用一次性血沉管，用血量少</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20.10</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25℃温度系数自动校准 数据真实可靠</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★20.11</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既可用单机操作，也可与计算机进行数据传输，建立数据库并打印中文图文报告</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水浴箱模块基本功能及要求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21.1</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控温范围：RT+5~65℃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21.2</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电源电压：AC220V    50HZ</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21.3</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控温精度0.1℃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21.4</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工作室尺寸：≥500*300*200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p>
        </w:tc>
        <w:tc>
          <w:tcPr>
            <w:tcW w:w="8144" w:type="dxa"/>
            <w:vAlign w:val="center"/>
          </w:tcPr>
          <w:p>
            <w:pPr>
              <w:ind w:firstLine="422"/>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配置要求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全自动生化仪主机一台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操作电脑及中文电脑各一台，激光打印机一台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3</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与仪器配套纯水处理机一台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与仪器配套UPS一台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5</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电解质一台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6</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离心机三台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7</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全自动动态血沉测试仪一台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371"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7</w:t>
            </w:r>
          </w:p>
        </w:tc>
        <w:tc>
          <w:tcPr>
            <w:tcW w:w="8144" w:type="dxa"/>
            <w:vAlign w:val="center"/>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水浴箱一台</w:t>
            </w:r>
          </w:p>
        </w:tc>
      </w:tr>
    </w:tbl>
    <w:p>
      <w:pPr>
        <w:pStyle w:val="2"/>
        <w:jc w:val="center"/>
        <w:rPr>
          <w:rFonts w:hint="eastAsia" w:ascii="宋体" w:hAnsi="宋体" w:eastAsia="宋体" w:cs="宋体"/>
          <w:b/>
          <w:bCs/>
          <w:color w:val="auto"/>
          <w:sz w:val="21"/>
          <w:szCs w:val="21"/>
        </w:rPr>
      </w:pPr>
    </w:p>
    <w:p>
      <w:pPr>
        <w:jc w:val="center"/>
        <w:rPr>
          <w:rFonts w:hint="eastAsia" w:ascii="宋体" w:hAnsi="宋体" w:eastAsia="宋体" w:cs="宋体"/>
          <w:i w:val="0"/>
          <w:color w:val="auto"/>
          <w:kern w:val="0"/>
          <w:sz w:val="21"/>
          <w:szCs w:val="21"/>
          <w:u w:val="none"/>
          <w:lang w:val="en-US" w:eastAsia="zh-CN" w:bidi="ar"/>
        </w:rPr>
      </w:pPr>
    </w:p>
    <w:p>
      <w:pPr>
        <w:pStyle w:val="2"/>
        <w:rPr>
          <w:rFonts w:hint="eastAsia"/>
          <w:color w:val="auto"/>
          <w:lang w:val="en-US" w:eastAsia="zh-CN"/>
        </w:rPr>
      </w:pPr>
    </w:p>
    <w:p>
      <w:pPr>
        <w:pStyle w:val="2"/>
        <w:rPr>
          <w:rFonts w:hint="eastAsia"/>
          <w:color w:val="auto"/>
          <w:lang w:val="en-US" w:eastAsia="zh-CN"/>
        </w:rPr>
      </w:pPr>
    </w:p>
    <w:p>
      <w:pPr>
        <w:jc w:val="center"/>
        <w:rPr>
          <w:rFonts w:hint="eastAsia" w:ascii="宋体" w:hAnsi="宋体" w:eastAsia="宋体" w:cs="宋体"/>
          <w:i w:val="0"/>
          <w:color w:val="auto"/>
          <w:kern w:val="0"/>
          <w:sz w:val="21"/>
          <w:szCs w:val="21"/>
          <w:u w:val="none"/>
          <w:lang w:val="en-US" w:eastAsia="zh-CN" w:bidi="ar"/>
        </w:rPr>
      </w:pPr>
    </w:p>
    <w:p>
      <w:pPr>
        <w:jc w:val="center"/>
        <w:rPr>
          <w:rFonts w:hint="eastAsia" w:ascii="宋体" w:hAnsi="宋体" w:eastAsia="宋体" w:cs="宋体"/>
          <w:i w:val="0"/>
          <w:color w:val="auto"/>
          <w:kern w:val="0"/>
          <w:sz w:val="21"/>
          <w:szCs w:val="21"/>
          <w:u w:val="none"/>
          <w:lang w:val="en-US" w:eastAsia="zh-CN" w:bidi="ar"/>
        </w:rPr>
      </w:pPr>
    </w:p>
    <w:p>
      <w:pPr>
        <w:jc w:val="center"/>
        <w:rPr>
          <w:rFonts w:hint="eastAsia" w:ascii="宋体" w:hAnsi="宋体" w:eastAsia="宋体" w:cs="宋体"/>
          <w:i w:val="0"/>
          <w:color w:val="auto"/>
          <w:kern w:val="0"/>
          <w:sz w:val="21"/>
          <w:szCs w:val="21"/>
          <w:u w:val="none"/>
          <w:lang w:val="en-US" w:eastAsia="zh-CN" w:bidi="ar"/>
        </w:rPr>
      </w:pPr>
    </w:p>
    <w:p>
      <w:pPr>
        <w:rPr>
          <w:rFonts w:hint="eastAsia" w:ascii="宋体" w:hAnsi="宋体" w:eastAsia="宋体"/>
          <w:b/>
          <w:bCs/>
          <w:color w:val="auto"/>
          <w:sz w:val="21"/>
          <w:szCs w:val="21"/>
        </w:rPr>
      </w:pPr>
      <w:r>
        <w:rPr>
          <w:rFonts w:hint="eastAsia" w:ascii="宋体" w:hAnsi="宋体" w:eastAsia="宋体"/>
          <w:b/>
          <w:bCs/>
          <w:color w:val="auto"/>
          <w:sz w:val="21"/>
          <w:szCs w:val="21"/>
        </w:rPr>
        <w:br w:type="page"/>
      </w:r>
    </w:p>
    <w:p>
      <w:pPr>
        <w:ind w:firstLine="422"/>
        <w:jc w:val="center"/>
        <w:rPr>
          <w:rFonts w:ascii="宋体" w:hAnsi="宋体"/>
          <w:b/>
          <w:bCs/>
          <w:color w:val="0D0D0D" w:themeColor="text1" w:themeTint="F2"/>
          <w:szCs w:val="21"/>
          <w14:textFill>
            <w14:solidFill>
              <w14:schemeClr w14:val="tx1">
                <w14:lumMod w14:val="95000"/>
                <w14:lumOff w14:val="5000"/>
              </w14:schemeClr>
            </w14:solidFill>
          </w14:textFill>
        </w:rPr>
      </w:pPr>
      <w:r>
        <w:rPr>
          <w:rFonts w:hint="eastAsia" w:ascii="宋体" w:hAnsi="宋体"/>
          <w:b/>
          <w:bCs/>
          <w:color w:val="0D0D0D" w:themeColor="text1" w:themeTint="F2"/>
          <w:szCs w:val="21"/>
          <w14:textFill>
            <w14:solidFill>
              <w14:schemeClr w14:val="tx1">
                <w14:lumMod w14:val="95000"/>
                <w14:lumOff w14:val="5000"/>
              </w14:schemeClr>
            </w14:solidFill>
          </w14:textFill>
        </w:rPr>
        <w:t>全自动五分类血液分析仪招标参数</w:t>
      </w:r>
    </w:p>
    <w:tbl>
      <w:tblPr>
        <w:tblStyle w:val="26"/>
        <w:tblpPr w:leftFromText="180" w:rightFromText="180" w:horzAnchor="margin" w:tblpY="900"/>
        <w:tblW w:w="95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6"/>
        <w:gridCol w:w="8459"/>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056" w:type="dxa"/>
            <w:vAlign w:val="center"/>
          </w:tcPr>
          <w:p>
            <w:pPr>
              <w:pStyle w:val="10"/>
              <w:ind w:firstLine="0" w:firstLineChars="0"/>
              <w:jc w:val="center"/>
              <w:rPr>
                <w:rFonts w:ascii="宋体" w:hAnsi="宋体" w:cstheme="majorEastAsia"/>
                <w:b/>
                <w:bCs/>
                <w:caps/>
                <w:color w:val="0D0D0D" w:themeColor="text1" w:themeTint="F2"/>
                <w:sz w:val="21"/>
                <w:szCs w:val="21"/>
                <w14:textFill>
                  <w14:solidFill>
                    <w14:schemeClr w14:val="tx1">
                      <w14:lumMod w14:val="95000"/>
                      <w14:lumOff w14:val="5000"/>
                    </w14:schemeClr>
                  </w14:solidFill>
                </w14:textFill>
              </w:rPr>
            </w:pPr>
            <w:bookmarkStart w:id="90" w:name="_Hlk16506642"/>
            <w:r>
              <w:rPr>
                <w:rFonts w:hint="eastAsia" w:ascii="宋体" w:hAnsi="宋体" w:cstheme="majorEastAsia"/>
                <w:b/>
                <w:bCs/>
                <w:caps/>
                <w:color w:val="0D0D0D" w:themeColor="text1" w:themeTint="F2"/>
                <w:sz w:val="21"/>
                <w:szCs w:val="21"/>
                <w14:textFill>
                  <w14:solidFill>
                    <w14:schemeClr w14:val="tx1">
                      <w14:lumMod w14:val="95000"/>
                      <w14:lumOff w14:val="5000"/>
                    </w14:schemeClr>
                  </w14:solidFill>
                </w14:textFill>
              </w:rPr>
              <w:t>序号</w:t>
            </w:r>
          </w:p>
        </w:tc>
        <w:tc>
          <w:tcPr>
            <w:tcW w:w="8459" w:type="dxa"/>
            <w:vAlign w:val="center"/>
          </w:tcPr>
          <w:p>
            <w:pPr>
              <w:pStyle w:val="10"/>
              <w:ind w:firstLine="0" w:firstLineChars="0"/>
              <w:jc w:val="center"/>
              <w:rPr>
                <w:rFonts w:ascii="宋体" w:hAnsi="宋体" w:cstheme="majorEastAsia"/>
                <w:b/>
                <w:bCs/>
                <w:caps/>
                <w:color w:val="0D0D0D" w:themeColor="text1" w:themeTint="F2"/>
                <w:sz w:val="21"/>
                <w:szCs w:val="21"/>
                <w14:textFill>
                  <w14:solidFill>
                    <w14:schemeClr w14:val="tx1">
                      <w14:lumMod w14:val="95000"/>
                      <w14:lumOff w14:val="5000"/>
                    </w14:schemeClr>
                  </w14:solidFill>
                </w14:textFill>
              </w:rPr>
            </w:pPr>
            <w:r>
              <w:rPr>
                <w:rFonts w:hint="eastAsia" w:ascii="宋体" w:hAnsi="宋体" w:cs="宋体"/>
                <w:b/>
                <w:bCs/>
                <w:color w:val="0D0D0D" w:themeColor="text1" w:themeTint="F2"/>
                <w:sz w:val="21"/>
                <w:szCs w:val="21"/>
                <w14:textFill>
                  <w14:solidFill>
                    <w14:schemeClr w14:val="tx1">
                      <w14:lumMod w14:val="95000"/>
                      <w14:lumOff w14:val="5000"/>
                    </w14:schemeClr>
                  </w14:solidFill>
                </w14:textFill>
              </w:rPr>
              <w:t>技术参数要求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056" w:type="dxa"/>
            <w:vAlign w:val="center"/>
          </w:tcPr>
          <w:p>
            <w:pPr>
              <w:ind w:firstLine="420"/>
              <w:jc w:val="center"/>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w:t>
            </w:r>
            <w:r>
              <w:rPr>
                <w:rFonts w:hint="eastAsia" w:ascii="宋体" w:hAnsi="宋体" w:cstheme="majorEastAsia"/>
                <w:color w:val="0D0D0D" w:themeColor="text1" w:themeTint="F2"/>
                <w:szCs w:val="21"/>
                <w14:textFill>
                  <w14:solidFill>
                    <w14:schemeClr w14:val="tx1">
                      <w14:lumMod w14:val="95000"/>
                      <w14:lumOff w14:val="5000"/>
                    </w14:schemeClr>
                  </w14:solidFill>
                </w14:textFill>
              </w:rPr>
              <w:t>1</w:t>
            </w:r>
          </w:p>
        </w:tc>
        <w:tc>
          <w:tcPr>
            <w:tcW w:w="8459" w:type="dxa"/>
            <w:vAlign w:val="center"/>
          </w:tcPr>
          <w:p>
            <w:pPr>
              <w:ind w:firstLine="420"/>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bCs/>
                <w:color w:val="0D0D0D" w:themeColor="text1" w:themeTint="F2"/>
                <w:szCs w:val="21"/>
                <w14:textFill>
                  <w14:solidFill>
                    <w14:schemeClr w14:val="tx1">
                      <w14:lumMod w14:val="95000"/>
                      <w14:lumOff w14:val="5000"/>
                    </w14:schemeClr>
                  </w14:solidFill>
                </w14:textFill>
              </w:rPr>
              <w:t>仪器为临床提供全血细胞及血液白细胞五分类的全自动检测。</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056" w:type="dxa"/>
            <w:vAlign w:val="center"/>
          </w:tcPr>
          <w:p>
            <w:pPr>
              <w:ind w:firstLine="420"/>
              <w:jc w:val="center"/>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color w:val="0D0D0D" w:themeColor="text1" w:themeTint="F2"/>
                <w:szCs w:val="21"/>
                <w14:textFill>
                  <w14:solidFill>
                    <w14:schemeClr w14:val="tx1">
                      <w14:lumMod w14:val="95000"/>
                      <w14:lumOff w14:val="5000"/>
                    </w14:schemeClr>
                  </w14:solidFill>
                </w14:textFill>
              </w:rPr>
              <w:t>★2</w:t>
            </w:r>
          </w:p>
        </w:tc>
        <w:tc>
          <w:tcPr>
            <w:tcW w:w="8459" w:type="dxa"/>
            <w:vAlign w:val="center"/>
          </w:tcPr>
          <w:p>
            <w:pPr>
              <w:ind w:firstLine="420"/>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bCs/>
                <w:color w:val="0D0D0D" w:themeColor="text1" w:themeTint="F2"/>
                <w:szCs w:val="21"/>
                <w14:textFill>
                  <w14:solidFill>
                    <w14:schemeClr w14:val="tx1">
                      <w14:lumMod w14:val="95000"/>
                      <w14:lumOff w14:val="5000"/>
                    </w14:schemeClr>
                  </w14:solidFill>
                </w14:textFill>
              </w:rPr>
              <w:t>仪器采用微量用血检测，满足难采血病人标本检测，全血（包括静脉血和末梢血）和末梢血预稀释双重检测模式，末梢全血不高于20ul用血量均能检测五分类全部参数（分类+计数）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056" w:type="dxa"/>
            <w:vAlign w:val="center"/>
          </w:tcPr>
          <w:p>
            <w:pPr>
              <w:ind w:firstLine="420"/>
              <w:jc w:val="center"/>
              <w:rPr>
                <w:rFonts w:ascii="宋体" w:hAnsi="宋体" w:cstheme="majorEastAsia"/>
                <w:b/>
                <w:bCs/>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color w:val="0D0D0D" w:themeColor="text1" w:themeTint="F2"/>
                <w:szCs w:val="21"/>
                <w14:textFill>
                  <w14:solidFill>
                    <w14:schemeClr w14:val="tx1">
                      <w14:lumMod w14:val="95000"/>
                      <w14:lumOff w14:val="5000"/>
                    </w14:schemeClr>
                  </w14:solidFill>
                </w14:textFill>
              </w:rPr>
              <w:t>★3</w:t>
            </w:r>
          </w:p>
        </w:tc>
        <w:tc>
          <w:tcPr>
            <w:tcW w:w="8459" w:type="dxa"/>
            <w:vAlign w:val="center"/>
          </w:tcPr>
          <w:p>
            <w:pPr>
              <w:ind w:firstLine="420"/>
              <w:rPr>
                <w:rFonts w:ascii="宋体" w:hAnsi="宋体" w:cstheme="majorEastAsia"/>
                <w:bCs/>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bCs/>
                <w:color w:val="0D0D0D" w:themeColor="text1" w:themeTint="F2"/>
                <w:szCs w:val="21"/>
                <w14:textFill>
                  <w14:solidFill>
                    <w14:schemeClr w14:val="tx1">
                      <w14:lumMod w14:val="95000"/>
                      <w14:lumOff w14:val="5000"/>
                    </w14:schemeClr>
                  </w14:solidFill>
                </w14:textFill>
              </w:rPr>
              <w:t>仪器采用核酸DNA/RNA荧光染色或化学染色流式细胞检测技术并有相应试剂，WBC应有相应分类染色试剂（染液），并用激光进行分类</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056" w:type="dxa"/>
            <w:vAlign w:val="center"/>
          </w:tcPr>
          <w:p>
            <w:pPr>
              <w:ind w:firstLine="420"/>
              <w:jc w:val="center"/>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w:t>
            </w:r>
            <w:r>
              <w:rPr>
                <w:rFonts w:hint="eastAsia" w:ascii="宋体" w:hAnsi="宋体" w:cstheme="majorEastAsia"/>
                <w:color w:val="0D0D0D" w:themeColor="text1" w:themeTint="F2"/>
                <w:szCs w:val="21"/>
                <w14:textFill>
                  <w14:solidFill>
                    <w14:schemeClr w14:val="tx1">
                      <w14:lumMod w14:val="95000"/>
                      <w14:lumOff w14:val="5000"/>
                    </w14:schemeClr>
                  </w14:solidFill>
                </w14:textFill>
              </w:rPr>
              <w:t>4</w:t>
            </w:r>
          </w:p>
        </w:tc>
        <w:tc>
          <w:tcPr>
            <w:tcW w:w="8459" w:type="dxa"/>
            <w:vAlign w:val="center"/>
          </w:tcPr>
          <w:p>
            <w:pPr>
              <w:ind w:firstLine="420"/>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bCs/>
                <w:color w:val="0D0D0D" w:themeColor="text1" w:themeTint="F2"/>
                <w:szCs w:val="21"/>
                <w14:textFill>
                  <w14:solidFill>
                    <w14:schemeClr w14:val="tx1">
                      <w14:lumMod w14:val="95000"/>
                      <w14:lumOff w14:val="5000"/>
                    </w14:schemeClr>
                  </w14:solidFill>
                </w14:textFill>
              </w:rPr>
              <w:t>所投标仪器检测试剂必须包括：稀释液、染液、溶血素（可以提供注册证），以确保检测结果的准确性。</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056" w:type="dxa"/>
            <w:vAlign w:val="center"/>
          </w:tcPr>
          <w:p>
            <w:pPr>
              <w:ind w:firstLine="420"/>
              <w:jc w:val="center"/>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w:t>
            </w:r>
            <w:r>
              <w:rPr>
                <w:rFonts w:hint="eastAsia" w:ascii="宋体" w:hAnsi="宋体" w:cstheme="majorEastAsia"/>
                <w:color w:val="0D0D0D" w:themeColor="text1" w:themeTint="F2"/>
                <w:szCs w:val="21"/>
                <w14:textFill>
                  <w14:solidFill>
                    <w14:schemeClr w14:val="tx1">
                      <w14:lumMod w14:val="95000"/>
                      <w14:lumOff w14:val="5000"/>
                    </w14:schemeClr>
                  </w14:solidFill>
                </w14:textFill>
              </w:rPr>
              <w:t>5</w:t>
            </w:r>
          </w:p>
        </w:tc>
        <w:tc>
          <w:tcPr>
            <w:tcW w:w="8459" w:type="dxa"/>
            <w:vAlign w:val="center"/>
          </w:tcPr>
          <w:p>
            <w:pPr>
              <w:ind w:firstLine="420"/>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bCs/>
                <w:color w:val="0D0D0D" w:themeColor="text1" w:themeTint="F2"/>
                <w:szCs w:val="21"/>
                <w14:textFill>
                  <w14:solidFill>
                    <w14:schemeClr w14:val="tx1">
                      <w14:lumMod w14:val="95000"/>
                      <w14:lumOff w14:val="5000"/>
                    </w14:schemeClr>
                  </w14:solidFill>
                </w14:textFill>
              </w:rPr>
              <w:t>仪器检测光源采用半导体激光光源，降低用户的使用成本。</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056" w:type="dxa"/>
            <w:vAlign w:val="center"/>
          </w:tcPr>
          <w:p>
            <w:pPr>
              <w:ind w:firstLine="420"/>
              <w:jc w:val="center"/>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w:t>
            </w:r>
            <w:r>
              <w:rPr>
                <w:rFonts w:hint="eastAsia" w:ascii="宋体" w:hAnsi="宋体" w:cstheme="majorEastAsia"/>
                <w:color w:val="0D0D0D" w:themeColor="text1" w:themeTint="F2"/>
                <w:szCs w:val="21"/>
                <w14:textFill>
                  <w14:solidFill>
                    <w14:schemeClr w14:val="tx1">
                      <w14:lumMod w14:val="95000"/>
                      <w14:lumOff w14:val="5000"/>
                    </w14:schemeClr>
                  </w14:solidFill>
                </w14:textFill>
              </w:rPr>
              <w:t>6</w:t>
            </w:r>
          </w:p>
        </w:tc>
        <w:tc>
          <w:tcPr>
            <w:tcW w:w="8459" w:type="dxa"/>
            <w:vAlign w:val="center"/>
          </w:tcPr>
          <w:p>
            <w:pPr>
              <w:ind w:firstLine="420"/>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bCs/>
                <w:color w:val="0D0D0D" w:themeColor="text1" w:themeTint="F2"/>
                <w:szCs w:val="21"/>
                <w14:textFill>
                  <w14:solidFill>
                    <w14:schemeClr w14:val="tx1">
                      <w14:lumMod w14:val="95000"/>
                      <w14:lumOff w14:val="5000"/>
                    </w14:schemeClr>
                  </w14:solidFill>
                </w14:textFill>
              </w:rPr>
              <w:t>测试速度≥60个样本/小时，仪器标配自动进样器，具有自动连续检测功能和手动进样检测、原始管进样盖帽穿刺等功能。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Ex>
        <w:trPr>
          <w:trHeight w:val="454" w:hRule="atLeast"/>
        </w:trPr>
        <w:tc>
          <w:tcPr>
            <w:tcW w:w="1056" w:type="dxa"/>
            <w:vAlign w:val="center"/>
          </w:tcPr>
          <w:p>
            <w:pPr>
              <w:ind w:firstLine="420"/>
              <w:jc w:val="center"/>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w:t>
            </w:r>
            <w:r>
              <w:rPr>
                <w:rFonts w:hint="eastAsia" w:ascii="宋体" w:hAnsi="宋体" w:cstheme="majorEastAsia"/>
                <w:color w:val="0D0D0D" w:themeColor="text1" w:themeTint="F2"/>
                <w:szCs w:val="21"/>
                <w14:textFill>
                  <w14:solidFill>
                    <w14:schemeClr w14:val="tx1">
                      <w14:lumMod w14:val="95000"/>
                      <w14:lumOff w14:val="5000"/>
                    </w14:schemeClr>
                  </w14:solidFill>
                </w14:textFill>
              </w:rPr>
              <w:t>7</w:t>
            </w:r>
          </w:p>
        </w:tc>
        <w:tc>
          <w:tcPr>
            <w:tcW w:w="8459" w:type="dxa"/>
            <w:vAlign w:val="center"/>
          </w:tcPr>
          <w:p>
            <w:pPr>
              <w:ind w:firstLine="420"/>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bCs/>
                <w:color w:val="0D0D0D" w:themeColor="text1" w:themeTint="F2"/>
                <w:szCs w:val="21"/>
                <w14:textFill>
                  <w14:solidFill>
                    <w14:schemeClr w14:val="tx1">
                      <w14:lumMod w14:val="95000"/>
                      <w14:lumOff w14:val="5000"/>
                    </w14:schemeClr>
                  </w14:solidFill>
                </w14:textFill>
              </w:rPr>
              <w:t>能够提供定量幼稚粒细胞或异常淋巴细胞检测参数，提供各项异常报警信息，有效保证异常标本的检出。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056" w:type="dxa"/>
            <w:vAlign w:val="center"/>
          </w:tcPr>
          <w:p>
            <w:pPr>
              <w:ind w:firstLine="420"/>
              <w:jc w:val="center"/>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w:t>
            </w:r>
            <w:r>
              <w:rPr>
                <w:rFonts w:hint="eastAsia" w:ascii="宋体" w:hAnsi="宋体" w:cstheme="majorEastAsia"/>
                <w:color w:val="0D0D0D" w:themeColor="text1" w:themeTint="F2"/>
                <w:szCs w:val="21"/>
                <w14:textFill>
                  <w14:solidFill>
                    <w14:schemeClr w14:val="tx1">
                      <w14:lumMod w14:val="95000"/>
                      <w14:lumOff w14:val="5000"/>
                    </w14:schemeClr>
                  </w14:solidFill>
                </w14:textFill>
              </w:rPr>
              <w:t>8</w:t>
            </w:r>
          </w:p>
        </w:tc>
        <w:tc>
          <w:tcPr>
            <w:tcW w:w="8459" w:type="dxa"/>
            <w:vAlign w:val="center"/>
          </w:tcPr>
          <w:p>
            <w:pPr>
              <w:ind w:firstLine="420"/>
              <w:rPr>
                <w:rFonts w:ascii="宋体" w:hAnsi="宋体" w:cstheme="majorEastAsia"/>
                <w:bCs/>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bCs/>
                <w:color w:val="0D0D0D" w:themeColor="text1" w:themeTint="F2"/>
                <w:szCs w:val="21"/>
                <w14:textFill>
                  <w14:solidFill>
                    <w14:schemeClr w14:val="tx1">
                      <w14:lumMod w14:val="95000"/>
                      <w14:lumOff w14:val="5000"/>
                    </w14:schemeClr>
                  </w14:solidFill>
                </w14:textFill>
              </w:rPr>
              <w:t>仪器能够提供≥24项检测参数（不含散点图、直方图和研究参数），包括WBC、LYMPH%、LYMPH#、MONO%、MONO#、NEUT%、NEUT#、EO%、EO#、BASO%、BASO#、RBC、HGB、HCT、MCV、MCH、MCHC、RDW-CV、RDW-SD、PLT、MPV、PDW、PCT、P-LCR；4项研究参数：IG#、IG%、OTHER#、OTHER%； 3个直方图、散点图。</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056" w:type="dxa"/>
            <w:vAlign w:val="center"/>
          </w:tcPr>
          <w:p>
            <w:pPr>
              <w:ind w:firstLine="420"/>
              <w:jc w:val="center"/>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color w:val="0D0D0D" w:themeColor="text1" w:themeTint="F2"/>
                <w:szCs w:val="21"/>
                <w14:textFill>
                  <w14:solidFill>
                    <w14:schemeClr w14:val="tx1">
                      <w14:lumMod w14:val="95000"/>
                      <w14:lumOff w14:val="5000"/>
                    </w14:schemeClr>
                  </w14:solidFill>
                </w14:textFill>
              </w:rPr>
              <w:t>9</w:t>
            </w:r>
          </w:p>
        </w:tc>
        <w:tc>
          <w:tcPr>
            <w:tcW w:w="8459" w:type="dxa"/>
            <w:vAlign w:val="center"/>
          </w:tcPr>
          <w:p>
            <w:pPr>
              <w:ind w:firstLine="420"/>
              <w:rPr>
                <w:rFonts w:ascii="宋体" w:hAnsi="宋体" w:cstheme="majorEastAsia"/>
                <w:bCs/>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bCs/>
                <w:color w:val="0D0D0D" w:themeColor="text1" w:themeTint="F2"/>
                <w:szCs w:val="21"/>
                <w14:textFill>
                  <w14:solidFill>
                    <w14:schemeClr w14:val="tx1">
                      <w14:lumMod w14:val="95000"/>
                      <w14:lumOff w14:val="5000"/>
                    </w14:schemeClr>
                  </w14:solidFill>
                </w14:textFill>
              </w:rPr>
              <w:t>采用液路聚焦原理检测RBC/PLT以保证结果准确性</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056" w:type="dxa"/>
            <w:vAlign w:val="center"/>
          </w:tcPr>
          <w:p>
            <w:pPr>
              <w:ind w:firstLine="420"/>
              <w:jc w:val="center"/>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color w:val="0D0D0D" w:themeColor="text1" w:themeTint="F2"/>
                <w:szCs w:val="21"/>
                <w14:textFill>
                  <w14:solidFill>
                    <w14:schemeClr w14:val="tx1">
                      <w14:lumMod w14:val="95000"/>
                      <w14:lumOff w14:val="5000"/>
                    </w14:schemeClr>
                  </w14:solidFill>
                </w14:textFill>
              </w:rPr>
              <w:t>10</w:t>
            </w:r>
          </w:p>
        </w:tc>
        <w:tc>
          <w:tcPr>
            <w:tcW w:w="8459" w:type="dxa"/>
            <w:vAlign w:val="center"/>
          </w:tcPr>
          <w:p>
            <w:pPr>
              <w:ind w:firstLine="420"/>
              <w:rPr>
                <w:rFonts w:ascii="宋体" w:hAnsi="宋体" w:cstheme="majorEastAsia"/>
                <w:bCs/>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bCs/>
                <w:color w:val="0D0D0D" w:themeColor="text1" w:themeTint="F2"/>
                <w:szCs w:val="21"/>
                <w14:textFill>
                  <w14:solidFill>
                    <w14:schemeClr w14:val="tx1">
                      <w14:lumMod w14:val="95000"/>
                      <w14:lumOff w14:val="5000"/>
                    </w14:schemeClr>
                  </w14:solidFill>
                </w14:textFill>
              </w:rPr>
              <w:t>操作界面语言为WINGDOWS XP中文界面，电脑界面中文软件操作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056" w:type="dxa"/>
            <w:vAlign w:val="center"/>
          </w:tcPr>
          <w:p>
            <w:pPr>
              <w:ind w:firstLine="420"/>
              <w:jc w:val="center"/>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color w:val="0D0D0D" w:themeColor="text1" w:themeTint="F2"/>
                <w:szCs w:val="21"/>
                <w14:textFill>
                  <w14:solidFill>
                    <w14:schemeClr w14:val="tx1">
                      <w14:lumMod w14:val="95000"/>
                      <w14:lumOff w14:val="5000"/>
                    </w14:schemeClr>
                  </w14:solidFill>
                </w14:textFill>
              </w:rPr>
              <w:t>11</w:t>
            </w:r>
          </w:p>
        </w:tc>
        <w:tc>
          <w:tcPr>
            <w:tcW w:w="8459" w:type="dxa"/>
            <w:vAlign w:val="center"/>
          </w:tcPr>
          <w:p>
            <w:pPr>
              <w:ind w:firstLine="420"/>
              <w:rPr>
                <w:rFonts w:ascii="宋体" w:hAnsi="宋体" w:cstheme="majorEastAsia"/>
                <w:bCs/>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bCs/>
                <w:color w:val="0D0D0D" w:themeColor="text1" w:themeTint="F2"/>
                <w:szCs w:val="21"/>
                <w14:textFill>
                  <w14:solidFill>
                    <w14:schemeClr w14:val="tx1">
                      <w14:lumMod w14:val="95000"/>
                      <w14:lumOff w14:val="5000"/>
                    </w14:schemeClr>
                  </w14:solidFill>
                </w14:textFill>
              </w:rPr>
              <w:t>RBC、PLT、WBC直方图均采用智能化的浮动鉴别线以准确区分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056" w:type="dxa"/>
            <w:vAlign w:val="center"/>
          </w:tcPr>
          <w:p>
            <w:pPr>
              <w:ind w:firstLine="420"/>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color w:val="0D0D0D" w:themeColor="text1" w:themeTint="F2"/>
                <w:szCs w:val="21"/>
                <w14:textFill>
                  <w14:solidFill>
                    <w14:schemeClr w14:val="tx1">
                      <w14:lumMod w14:val="95000"/>
                      <w14:lumOff w14:val="5000"/>
                    </w14:schemeClr>
                  </w14:solidFill>
                </w14:textFill>
              </w:rPr>
              <w:t>★12</w:t>
            </w:r>
          </w:p>
        </w:tc>
        <w:tc>
          <w:tcPr>
            <w:tcW w:w="8459" w:type="dxa"/>
            <w:vAlign w:val="center"/>
          </w:tcPr>
          <w:p>
            <w:pPr>
              <w:ind w:firstLine="420"/>
              <w:rPr>
                <w:rFonts w:ascii="宋体" w:hAnsi="宋体" w:cstheme="majorEastAsia"/>
                <w:bCs/>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bCs/>
                <w:color w:val="0D0D0D" w:themeColor="text1" w:themeTint="F2"/>
                <w:szCs w:val="21"/>
                <w14:textFill>
                  <w14:solidFill>
                    <w14:schemeClr w14:val="tx1">
                      <w14:lumMod w14:val="95000"/>
                      <w14:lumOff w14:val="5000"/>
                    </w14:schemeClr>
                  </w14:solidFill>
                </w14:textFill>
              </w:rPr>
              <w:t>能提供完善的、与仪器配套的并具有国家SFDA认证的质控品和相配套的原厂校准品。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056" w:type="dxa"/>
            <w:vAlign w:val="center"/>
          </w:tcPr>
          <w:p>
            <w:pPr>
              <w:ind w:firstLine="210" w:firstLineChars="100"/>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w:t>
            </w:r>
            <w:r>
              <w:rPr>
                <w:rFonts w:hint="eastAsia" w:ascii="宋体" w:hAnsi="宋体" w:cstheme="majorEastAsia"/>
                <w:color w:val="0D0D0D" w:themeColor="text1" w:themeTint="F2"/>
                <w:szCs w:val="21"/>
                <w14:textFill>
                  <w14:solidFill>
                    <w14:schemeClr w14:val="tx1">
                      <w14:lumMod w14:val="95000"/>
                      <w14:lumOff w14:val="5000"/>
                    </w14:schemeClr>
                  </w14:solidFill>
                </w14:textFill>
              </w:rPr>
              <w:t>13</w:t>
            </w:r>
          </w:p>
        </w:tc>
        <w:tc>
          <w:tcPr>
            <w:tcW w:w="8459" w:type="dxa"/>
            <w:vAlign w:val="center"/>
          </w:tcPr>
          <w:p>
            <w:pPr>
              <w:ind w:firstLine="420"/>
              <w:rPr>
                <w:rFonts w:ascii="宋体" w:hAnsi="宋体" w:cstheme="majorEastAsia"/>
                <w:bCs/>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color w:val="0D0D0D" w:themeColor="text1" w:themeTint="F2"/>
                <w:szCs w:val="21"/>
                <w14:textFill>
                  <w14:solidFill>
                    <w14:schemeClr w14:val="tx1">
                      <w14:lumMod w14:val="95000"/>
                      <w14:lumOff w14:val="5000"/>
                    </w14:schemeClr>
                  </w14:solidFill>
                </w14:textFill>
              </w:rPr>
              <w:t>质控类型：≥2种，</w:t>
            </w:r>
            <w:r>
              <w:rPr>
                <w:rFonts w:hint="eastAsia" w:ascii="宋体" w:hAnsi="宋体" w:cstheme="majorEastAsia"/>
                <w:bCs/>
                <w:color w:val="0D0D0D" w:themeColor="text1" w:themeTint="F2"/>
                <w:szCs w:val="21"/>
                <w14:textFill>
                  <w14:solidFill>
                    <w14:schemeClr w14:val="tx1">
                      <w14:lumMod w14:val="95000"/>
                      <w14:lumOff w14:val="5000"/>
                    </w14:schemeClr>
                  </w14:solidFill>
                </w14:textFill>
              </w:rPr>
              <w:t>检测试剂种类≤4种，试剂安全环保，不含氰化物。</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056" w:type="dxa"/>
            <w:vAlign w:val="center"/>
          </w:tcPr>
          <w:p>
            <w:pPr>
              <w:ind w:firstLine="420"/>
              <w:jc w:val="center"/>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color w:val="0D0D0D" w:themeColor="text1" w:themeTint="F2"/>
                <w:szCs w:val="21"/>
                <w14:textFill>
                  <w14:solidFill>
                    <w14:schemeClr w14:val="tx1">
                      <w14:lumMod w14:val="95000"/>
                      <w14:lumOff w14:val="5000"/>
                    </w14:schemeClr>
                  </w14:solidFill>
                </w14:textFill>
              </w:rPr>
              <w:t>14</w:t>
            </w:r>
          </w:p>
        </w:tc>
        <w:tc>
          <w:tcPr>
            <w:tcW w:w="8459" w:type="dxa"/>
            <w:vAlign w:val="center"/>
          </w:tcPr>
          <w:p>
            <w:pPr>
              <w:ind w:firstLine="420"/>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bCs/>
                <w:color w:val="0D0D0D" w:themeColor="text1" w:themeTint="F2"/>
                <w:szCs w:val="21"/>
                <w14:textFill>
                  <w14:solidFill>
                    <w14:schemeClr w14:val="tx1">
                      <w14:lumMod w14:val="95000"/>
                      <w14:lumOff w14:val="5000"/>
                    </w14:schemeClr>
                  </w14:solidFill>
                </w14:textFill>
              </w:rPr>
              <w:t>原厂原配的检验数据管理软件，无存储限制，可以打印多类自需的中文报告单。</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056" w:type="dxa"/>
            <w:vAlign w:val="center"/>
          </w:tcPr>
          <w:p>
            <w:pPr>
              <w:ind w:firstLine="420"/>
              <w:jc w:val="center"/>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color w:val="0D0D0D" w:themeColor="text1" w:themeTint="F2"/>
                <w:szCs w:val="21"/>
                <w14:textFill>
                  <w14:solidFill>
                    <w14:schemeClr w14:val="tx1">
                      <w14:lumMod w14:val="95000"/>
                      <w14:lumOff w14:val="5000"/>
                    </w14:schemeClr>
                  </w14:solidFill>
                </w14:textFill>
              </w:rPr>
              <w:t>15</w:t>
            </w:r>
          </w:p>
        </w:tc>
        <w:tc>
          <w:tcPr>
            <w:tcW w:w="8459" w:type="dxa"/>
            <w:vAlign w:val="center"/>
          </w:tcPr>
          <w:p>
            <w:pPr>
              <w:ind w:firstLine="420"/>
              <w:rPr>
                <w:rFonts w:ascii="宋体" w:hAnsi="宋体" w:cstheme="majorEastAsia"/>
                <w:bCs/>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bCs/>
                <w:color w:val="0D0D0D" w:themeColor="text1" w:themeTint="F2"/>
                <w:szCs w:val="21"/>
                <w14:textFill>
                  <w14:solidFill>
                    <w14:schemeClr w14:val="tx1">
                      <w14:lumMod w14:val="95000"/>
                      <w14:lumOff w14:val="5000"/>
                    </w14:schemeClr>
                  </w14:solidFill>
                </w14:textFill>
              </w:rPr>
              <w:t>选配SNCS在线质控远程维护功能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056" w:type="dxa"/>
            <w:vAlign w:val="center"/>
          </w:tcPr>
          <w:p>
            <w:pPr>
              <w:ind w:firstLine="420"/>
              <w:jc w:val="center"/>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color w:val="0D0D0D" w:themeColor="text1" w:themeTint="F2"/>
                <w:szCs w:val="21"/>
                <w14:textFill>
                  <w14:solidFill>
                    <w14:schemeClr w14:val="tx1">
                      <w14:lumMod w14:val="95000"/>
                      <w14:lumOff w14:val="5000"/>
                    </w14:schemeClr>
                  </w14:solidFill>
                </w14:textFill>
              </w:rPr>
              <w:t>16</w:t>
            </w:r>
          </w:p>
        </w:tc>
        <w:tc>
          <w:tcPr>
            <w:tcW w:w="8459" w:type="dxa"/>
            <w:vAlign w:val="center"/>
          </w:tcPr>
          <w:p>
            <w:pPr>
              <w:ind w:firstLine="420"/>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bCs/>
                <w:color w:val="0D0D0D" w:themeColor="text1" w:themeTint="F2"/>
                <w:szCs w:val="21"/>
                <w14:textFill>
                  <w14:solidFill>
                    <w14:schemeClr w14:val="tx1">
                      <w14:lumMod w14:val="95000"/>
                      <w14:lumOff w14:val="5000"/>
                    </w14:schemeClr>
                  </w14:solidFill>
                </w14:textFill>
              </w:rPr>
              <w:t>具有RS-232和LAN数据输出接口以方便联网</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056" w:type="dxa"/>
            <w:vAlign w:val="center"/>
          </w:tcPr>
          <w:p>
            <w:pPr>
              <w:ind w:firstLine="420"/>
              <w:jc w:val="center"/>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color w:val="0D0D0D" w:themeColor="text1" w:themeTint="F2"/>
                <w:szCs w:val="21"/>
                <w14:textFill>
                  <w14:solidFill>
                    <w14:schemeClr w14:val="tx1">
                      <w14:lumMod w14:val="95000"/>
                      <w14:lumOff w14:val="5000"/>
                    </w14:schemeClr>
                  </w14:solidFill>
                </w14:textFill>
              </w:rPr>
              <w:t>17</w:t>
            </w:r>
          </w:p>
        </w:tc>
        <w:tc>
          <w:tcPr>
            <w:tcW w:w="8459" w:type="dxa"/>
            <w:vAlign w:val="center"/>
          </w:tcPr>
          <w:p>
            <w:pPr>
              <w:ind w:left="420" w:hanging="420" w:hangingChars="200"/>
              <w:jc w:val="left"/>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bCs/>
                <w:color w:val="0D0D0D" w:themeColor="text1" w:themeTint="F2"/>
                <w:szCs w:val="21"/>
                <w14:textFill>
                  <w14:solidFill>
                    <w14:schemeClr w14:val="tx1">
                      <w14:lumMod w14:val="95000"/>
                      <w14:lumOff w14:val="5000"/>
                    </w14:schemeClr>
                  </w14:solidFill>
                </w14:textFill>
              </w:rPr>
              <w:t>一级经销商提供日常维修服务，提供当地区域的工程师售后服务，同时制造商原厂人员进行技术支援。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056" w:type="dxa"/>
            <w:vAlign w:val="center"/>
          </w:tcPr>
          <w:p>
            <w:pPr>
              <w:ind w:firstLine="420"/>
              <w:jc w:val="center"/>
              <w:rPr>
                <w:rFonts w:ascii="宋体" w:hAnsi="宋体" w:cstheme="majorEastAsia"/>
                <w:color w:val="0D0D0D" w:themeColor="text1" w:themeTint="F2"/>
                <w:szCs w:val="21"/>
                <w14:textFill>
                  <w14:solidFill>
                    <w14:schemeClr w14:val="tx1">
                      <w14:lumMod w14:val="95000"/>
                      <w14:lumOff w14:val="5000"/>
                    </w14:schemeClr>
                  </w14:solidFill>
                </w14:textFill>
              </w:rPr>
            </w:pPr>
          </w:p>
        </w:tc>
        <w:tc>
          <w:tcPr>
            <w:tcW w:w="8459" w:type="dxa"/>
            <w:vAlign w:val="center"/>
          </w:tcPr>
          <w:p>
            <w:pPr>
              <w:ind w:firstLine="422"/>
              <w:rPr>
                <w:rFonts w:ascii="宋体" w:hAnsi="宋体" w:cstheme="majorEastAsia"/>
                <w:b/>
                <w:bCs/>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b/>
                <w:bCs/>
                <w:color w:val="0D0D0D" w:themeColor="text1" w:themeTint="F2"/>
                <w:szCs w:val="21"/>
                <w14:textFill>
                  <w14:solidFill>
                    <w14:schemeClr w14:val="tx1">
                      <w14:lumMod w14:val="95000"/>
                      <w14:lumOff w14:val="5000"/>
                    </w14:schemeClr>
                  </w14:solidFill>
                </w14:textFill>
              </w:rPr>
              <w:t>配置要求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056" w:type="dxa"/>
            <w:vAlign w:val="center"/>
          </w:tcPr>
          <w:p>
            <w:pPr>
              <w:ind w:firstLine="420"/>
              <w:jc w:val="center"/>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color w:val="0D0D0D" w:themeColor="text1" w:themeTint="F2"/>
                <w:szCs w:val="21"/>
                <w14:textFill>
                  <w14:solidFill>
                    <w14:schemeClr w14:val="tx1">
                      <w14:lumMod w14:val="95000"/>
                      <w14:lumOff w14:val="5000"/>
                    </w14:schemeClr>
                  </w14:solidFill>
                </w14:textFill>
              </w:rPr>
              <w:t>1</w:t>
            </w:r>
          </w:p>
        </w:tc>
        <w:tc>
          <w:tcPr>
            <w:tcW w:w="8459" w:type="dxa"/>
            <w:vAlign w:val="center"/>
          </w:tcPr>
          <w:p>
            <w:pPr>
              <w:ind w:firstLine="420"/>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color w:val="0D0D0D" w:themeColor="text1" w:themeTint="F2"/>
                <w:szCs w:val="21"/>
                <w14:textFill>
                  <w14:solidFill>
                    <w14:schemeClr w14:val="tx1">
                      <w14:lumMod w14:val="95000"/>
                      <w14:lumOff w14:val="5000"/>
                    </w14:schemeClr>
                  </w14:solidFill>
                </w14:textFill>
              </w:rPr>
              <w:t>主机一台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056" w:type="dxa"/>
            <w:vAlign w:val="center"/>
          </w:tcPr>
          <w:p>
            <w:pPr>
              <w:ind w:firstLine="420"/>
              <w:jc w:val="center"/>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color w:val="0D0D0D" w:themeColor="text1" w:themeTint="F2"/>
                <w:szCs w:val="21"/>
                <w14:textFill>
                  <w14:solidFill>
                    <w14:schemeClr w14:val="tx1">
                      <w14:lumMod w14:val="95000"/>
                      <w14:lumOff w14:val="5000"/>
                    </w14:schemeClr>
                  </w14:solidFill>
                </w14:textFill>
              </w:rPr>
              <w:t>2</w:t>
            </w:r>
          </w:p>
        </w:tc>
        <w:tc>
          <w:tcPr>
            <w:tcW w:w="8459" w:type="dxa"/>
            <w:vAlign w:val="center"/>
          </w:tcPr>
          <w:p>
            <w:pPr>
              <w:ind w:firstLine="420"/>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color w:val="0D0D0D" w:themeColor="text1" w:themeTint="F2"/>
                <w:szCs w:val="21"/>
                <w14:textFill>
                  <w14:solidFill>
                    <w14:schemeClr w14:val="tx1">
                      <w14:lumMod w14:val="95000"/>
                      <w14:lumOff w14:val="5000"/>
                    </w14:schemeClr>
                  </w14:solidFill>
                </w14:textFill>
              </w:rPr>
              <w:t>附件箱一套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056" w:type="dxa"/>
            <w:vAlign w:val="center"/>
          </w:tcPr>
          <w:p>
            <w:pPr>
              <w:ind w:firstLine="420"/>
              <w:jc w:val="center"/>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color w:val="0D0D0D" w:themeColor="text1" w:themeTint="F2"/>
                <w:szCs w:val="21"/>
                <w14:textFill>
                  <w14:solidFill>
                    <w14:schemeClr w14:val="tx1">
                      <w14:lumMod w14:val="95000"/>
                      <w14:lumOff w14:val="5000"/>
                    </w14:schemeClr>
                  </w14:solidFill>
                </w14:textFill>
              </w:rPr>
              <w:t>3</w:t>
            </w:r>
          </w:p>
        </w:tc>
        <w:tc>
          <w:tcPr>
            <w:tcW w:w="8459" w:type="dxa"/>
            <w:vAlign w:val="center"/>
          </w:tcPr>
          <w:p>
            <w:pPr>
              <w:ind w:firstLine="420"/>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color w:val="0D0D0D" w:themeColor="text1" w:themeTint="F2"/>
                <w:szCs w:val="21"/>
                <w14:textFill>
                  <w14:solidFill>
                    <w14:schemeClr w14:val="tx1">
                      <w14:lumMod w14:val="95000"/>
                      <w14:lumOff w14:val="5000"/>
                    </w14:schemeClr>
                  </w14:solidFill>
                </w14:textFill>
              </w:rPr>
              <w:t>进样器一套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1056" w:type="dxa"/>
            <w:vAlign w:val="center"/>
          </w:tcPr>
          <w:p>
            <w:pPr>
              <w:ind w:firstLine="420"/>
              <w:jc w:val="center"/>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color w:val="0D0D0D" w:themeColor="text1" w:themeTint="F2"/>
                <w:szCs w:val="21"/>
                <w14:textFill>
                  <w14:solidFill>
                    <w14:schemeClr w14:val="tx1">
                      <w14:lumMod w14:val="95000"/>
                      <w14:lumOff w14:val="5000"/>
                    </w14:schemeClr>
                  </w14:solidFill>
                </w14:textFill>
              </w:rPr>
              <w:t>4</w:t>
            </w:r>
          </w:p>
        </w:tc>
        <w:tc>
          <w:tcPr>
            <w:tcW w:w="8459" w:type="dxa"/>
            <w:vAlign w:val="center"/>
          </w:tcPr>
          <w:p>
            <w:pPr>
              <w:ind w:firstLine="420"/>
              <w:rPr>
                <w:rFonts w:ascii="宋体" w:hAnsi="宋体" w:cstheme="majorEastAsia"/>
                <w:color w:val="0D0D0D" w:themeColor="text1" w:themeTint="F2"/>
                <w:szCs w:val="21"/>
                <w14:textFill>
                  <w14:solidFill>
                    <w14:schemeClr w14:val="tx1">
                      <w14:lumMod w14:val="95000"/>
                      <w14:lumOff w14:val="5000"/>
                    </w14:schemeClr>
                  </w14:solidFill>
                </w14:textFill>
              </w:rPr>
            </w:pPr>
            <w:r>
              <w:rPr>
                <w:rFonts w:hint="eastAsia" w:ascii="宋体" w:hAnsi="宋体" w:cstheme="majorEastAsia"/>
                <w:color w:val="0D0D0D" w:themeColor="text1" w:themeTint="F2"/>
                <w:szCs w:val="21"/>
                <w14:textFill>
                  <w14:solidFill>
                    <w14:schemeClr w14:val="tx1">
                      <w14:lumMod w14:val="95000"/>
                      <w14:lumOff w14:val="5000"/>
                    </w14:schemeClr>
                  </w14:solidFill>
                </w14:textFill>
              </w:rPr>
              <w:t>电脑一台</w:t>
            </w:r>
          </w:p>
        </w:tc>
      </w:tr>
      <w:bookmarkEnd w:id="90"/>
    </w:tbl>
    <w:p>
      <w:pPr>
        <w:pStyle w:val="2"/>
        <w:ind w:firstLine="211"/>
        <w:rPr>
          <w:rFonts w:ascii="宋体" w:hAnsi="宋体" w:eastAsia="宋体"/>
          <w:b/>
          <w:bCs/>
          <w:color w:val="0D0D0D" w:themeColor="text1" w:themeTint="F2"/>
          <w:szCs w:val="21"/>
          <w14:textFill>
            <w14:solidFill>
              <w14:schemeClr w14:val="tx1">
                <w14:lumMod w14:val="95000"/>
                <w14:lumOff w14:val="5000"/>
              </w14:schemeClr>
            </w14:solidFill>
          </w14:textFill>
        </w:rPr>
      </w:pPr>
    </w:p>
    <w:p>
      <w:pPr>
        <w:jc w:val="center"/>
        <w:rPr>
          <w:rFonts w:hint="eastAsia" w:ascii="宋体" w:hAnsi="宋体" w:eastAsia="宋体" w:cs="宋体"/>
          <w:i w:val="0"/>
          <w:color w:val="auto"/>
          <w:kern w:val="0"/>
          <w:sz w:val="21"/>
          <w:szCs w:val="21"/>
          <w:u w:val="none"/>
          <w:lang w:val="en-US" w:eastAsia="zh-CN" w:bidi="ar"/>
        </w:rPr>
      </w:pPr>
    </w:p>
    <w:p>
      <w:pPr>
        <w:pStyle w:val="5"/>
        <w:rPr>
          <w:rFonts w:hint="eastAsia" w:cs="宋体" w:asciiTheme="minorEastAsia" w:hAnsiTheme="minorEastAsia" w:eastAsiaTheme="minorEastAsia"/>
          <w:color w:val="auto"/>
          <w:szCs w:val="21"/>
        </w:rPr>
      </w:pPr>
    </w:p>
    <w:p>
      <w:pPr>
        <w:jc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设备数量汇总表</w:t>
      </w:r>
    </w:p>
    <w:tbl>
      <w:tblPr>
        <w:tblStyle w:val="26"/>
        <w:tblW w:w="9337" w:type="dxa"/>
        <w:tblInd w:w="0" w:type="dxa"/>
        <w:shd w:val="clear" w:color="auto" w:fill="auto"/>
        <w:tblLayout w:type="fixed"/>
        <w:tblCellMar>
          <w:top w:w="0" w:type="dxa"/>
          <w:left w:w="0" w:type="dxa"/>
          <w:bottom w:w="0" w:type="dxa"/>
          <w:right w:w="0" w:type="dxa"/>
        </w:tblCellMar>
      </w:tblPr>
      <w:tblGrid>
        <w:gridCol w:w="1327"/>
        <w:gridCol w:w="4635"/>
        <w:gridCol w:w="1755"/>
        <w:gridCol w:w="1620"/>
      </w:tblGrid>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设备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单位</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数量</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b/>
                <w:bCs/>
                <w:color w:val="auto"/>
                <w:sz w:val="21"/>
                <w:szCs w:val="21"/>
              </w:rPr>
              <w:t>全自动化学发光免疫分析仪</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r>
              <w:rPr>
                <w:rFonts w:hint="eastAsia" w:ascii="宋体" w:hAnsi="宋体" w:cs="宋体"/>
                <w:i w:val="0"/>
                <w:color w:val="auto"/>
                <w:sz w:val="21"/>
                <w:szCs w:val="21"/>
                <w:u w:val="none"/>
                <w:lang w:val="en-US" w:eastAsia="zh-CN"/>
              </w:rPr>
              <w:t>1</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b/>
                <w:color w:val="auto"/>
                <w:sz w:val="21"/>
                <w:szCs w:val="21"/>
              </w:rPr>
              <w:t>尿沉渣流水线</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b/>
                <w:color w:val="auto"/>
                <w:sz w:val="21"/>
                <w:szCs w:val="21"/>
              </w:rPr>
              <w:t>全自动生化分析仪</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r>
              <w:rPr>
                <w:rFonts w:hint="eastAsia" w:ascii="宋体" w:hAnsi="宋体" w:cs="宋体"/>
                <w:i w:val="0"/>
                <w:color w:val="auto"/>
                <w:sz w:val="21"/>
                <w:szCs w:val="21"/>
                <w:u w:val="none"/>
                <w:lang w:val="en-US" w:eastAsia="zh-CN"/>
              </w:rPr>
              <w:t>1</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b/>
                <w:color w:val="auto"/>
                <w:sz w:val="21"/>
                <w:szCs w:val="21"/>
              </w:rPr>
              <w:t>全自动血液分析流水线</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b/>
                <w:bCs/>
                <w:color w:val="auto"/>
                <w:sz w:val="21"/>
                <w:szCs w:val="21"/>
              </w:rPr>
              <w:t>五分类血球计数仪</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tblPrEx>
          <w:tblLayout w:type="fixed"/>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6</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22" w:firstLineChars="200"/>
              <w:jc w:val="center"/>
              <w:textAlignment w:val="center"/>
              <w:rPr>
                <w:rFonts w:hint="eastAsia" w:ascii="宋体" w:hAnsi="宋体" w:eastAsia="宋体" w:cs="宋体"/>
                <w:b/>
                <w:bCs/>
                <w:color w:val="auto"/>
                <w:sz w:val="21"/>
                <w:szCs w:val="21"/>
              </w:rPr>
            </w:pPr>
            <w:r>
              <w:rPr>
                <w:rFonts w:hint="eastAsia"/>
                <w:b/>
                <w:bCs/>
                <w:color w:val="auto"/>
                <w:sz w:val="21"/>
                <w:szCs w:val="21"/>
              </w:rPr>
              <w:t>全自动凝血分析系统</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20" w:firstLineChars="20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20" w:firstLineChars="20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sz w:val="21"/>
                <w:szCs w:val="21"/>
                <w:u w:val="none"/>
                <w:lang w:val="en-US" w:eastAsia="zh-CN"/>
              </w:rPr>
              <w:t>1</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7</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22" w:firstLineChars="20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全自动生化分析仪</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20" w:firstLineChars="20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20" w:firstLineChars="20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8</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22" w:firstLineChars="200"/>
              <w:jc w:val="center"/>
              <w:textAlignment w:val="center"/>
              <w:rPr>
                <w:rFonts w:hint="eastAsia" w:ascii="宋体" w:hAnsi="宋体" w:eastAsia="宋体" w:cs="宋体"/>
                <w:b/>
                <w:bCs/>
                <w:color w:val="auto"/>
                <w:sz w:val="21"/>
                <w:szCs w:val="21"/>
              </w:rPr>
            </w:pPr>
            <w:r>
              <w:rPr>
                <w:rFonts w:hint="eastAsia" w:ascii="宋体" w:hAnsi="宋体" w:eastAsia="宋体"/>
                <w:b/>
                <w:bCs/>
                <w:color w:val="auto"/>
                <w:sz w:val="21"/>
                <w:szCs w:val="21"/>
              </w:rPr>
              <w:t>全自动五分类血液分析仪</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20" w:firstLineChars="20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20" w:firstLineChars="20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sz w:val="21"/>
                <w:szCs w:val="21"/>
                <w:u w:val="none"/>
                <w:lang w:val="en-US" w:eastAsia="zh-CN"/>
              </w:rPr>
              <w:t>1</w:t>
            </w:r>
          </w:p>
        </w:tc>
      </w:tr>
    </w:tbl>
    <w:p>
      <w:pPr>
        <w:pStyle w:val="2"/>
        <w:rPr>
          <w:color w:val="auto"/>
        </w:rPr>
      </w:pPr>
    </w:p>
    <w:p>
      <w:pPr>
        <w:pStyle w:val="5"/>
        <w:rPr>
          <w:rFonts w:cs="宋体" w:asciiTheme="minorEastAsia" w:hAnsiTheme="minorEastAsia" w:eastAsiaTheme="minorEastAsia"/>
          <w:color w:val="auto"/>
          <w:szCs w:val="21"/>
        </w:rPr>
      </w:pPr>
      <w:bookmarkStart w:id="91" w:name="_Toc27106"/>
      <w:r>
        <w:rPr>
          <w:rFonts w:hint="eastAsia" w:cs="宋体" w:asciiTheme="minorEastAsia" w:hAnsiTheme="minorEastAsia" w:eastAsiaTheme="minorEastAsia"/>
          <w:color w:val="auto"/>
          <w:szCs w:val="21"/>
        </w:rPr>
        <w:t>本</w:t>
      </w:r>
      <w:r>
        <w:rPr>
          <w:rFonts w:hint="eastAsia" w:cs="宋体" w:asciiTheme="minorEastAsia" w:hAnsiTheme="minorEastAsia" w:eastAsiaTheme="minorEastAsia"/>
          <w:color w:val="auto"/>
          <w:szCs w:val="21"/>
          <w:lang w:eastAsia="zh-CN"/>
        </w:rPr>
        <w:t>标</w:t>
      </w:r>
      <w:r>
        <w:rPr>
          <w:rFonts w:hint="eastAsia" w:cs="宋体" w:asciiTheme="minorEastAsia" w:hAnsiTheme="minorEastAsia" w:eastAsiaTheme="minorEastAsia"/>
          <w:color w:val="auto"/>
          <w:szCs w:val="21"/>
        </w:rPr>
        <w:t>项核心产品</w:t>
      </w:r>
      <w:bookmarkEnd w:id="91"/>
    </w:p>
    <w:p>
      <w:pPr>
        <w:ind w:firstLine="420"/>
        <w:rPr>
          <w:rFonts w:asciiTheme="minorEastAsia" w:hAnsiTheme="minorEastAsia" w:eastAsiaTheme="minorEastAsia"/>
          <w:color w:val="auto"/>
          <w:sz w:val="21"/>
          <w:szCs w:val="21"/>
        </w:rPr>
      </w:pPr>
      <w:r>
        <w:rPr>
          <w:rFonts w:hint="eastAsia" w:ascii="宋体" w:hAnsi="宋体" w:eastAsia="宋体"/>
          <w:color w:val="auto"/>
          <w:sz w:val="21"/>
          <w:szCs w:val="21"/>
        </w:rPr>
        <w:t>全自动生化分析仪</w:t>
      </w:r>
    </w:p>
    <w:p>
      <w:pPr>
        <w:pStyle w:val="5"/>
        <w:rPr>
          <w:rFonts w:hint="eastAsia" w:cs="宋体" w:asciiTheme="minorEastAsia" w:hAnsiTheme="minorEastAsia" w:eastAsiaTheme="minorEastAsia"/>
          <w:color w:val="auto"/>
          <w:szCs w:val="21"/>
          <w:lang w:val="en-US" w:eastAsia="zh-CN"/>
        </w:rPr>
      </w:pPr>
    </w:p>
    <w:p>
      <w:pPr>
        <w:pStyle w:val="2"/>
        <w:rPr>
          <w:rFonts w:hint="eastAsia"/>
          <w:lang w:val="en-US" w:eastAsia="zh-CN"/>
        </w:rPr>
      </w:pPr>
    </w:p>
    <w:p>
      <w:pPr>
        <w:pStyle w:val="5"/>
        <w:rPr>
          <w:rFonts w:hint="eastAsia" w:cs="宋体" w:asciiTheme="minorEastAsia" w:hAnsiTheme="minorEastAsia" w:eastAsiaTheme="minorEastAsia"/>
          <w:color w:val="auto"/>
          <w:szCs w:val="21"/>
        </w:rPr>
      </w:pPr>
    </w:p>
    <w:p>
      <w:pPr>
        <w:jc w:val="center"/>
        <w:rPr>
          <w:rFonts w:hint="eastAsia" w:ascii="宋体" w:hAnsi="宋体" w:eastAsia="宋体" w:cs="宋体"/>
          <w:i w:val="0"/>
          <w:color w:val="auto"/>
          <w:kern w:val="0"/>
          <w:sz w:val="21"/>
          <w:szCs w:val="21"/>
          <w:u w:val="none"/>
          <w:lang w:val="en-US" w:eastAsia="zh-CN" w:bidi="ar"/>
        </w:rPr>
      </w:pPr>
    </w:p>
    <w:p>
      <w:pP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br w:type="page"/>
      </w:r>
    </w:p>
    <w:p>
      <w:pPr>
        <w:pStyle w:val="5"/>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标项2</w:t>
      </w:r>
    </w:p>
    <w:p>
      <w:pPr>
        <w:ind w:firstLine="643"/>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儿童椭圆型滑轨悬吊康复单元招标参数</w:t>
      </w:r>
    </w:p>
    <w:p>
      <w:pPr>
        <w:pStyle w:val="2"/>
        <w:ind w:firstLine="210"/>
        <w:rPr>
          <w:rFonts w:hint="eastAsia" w:ascii="宋体" w:hAnsi="宋体" w:eastAsia="宋体" w:cs="宋体"/>
          <w:color w:val="auto"/>
          <w:sz w:val="21"/>
          <w:szCs w:val="21"/>
        </w:rPr>
      </w:pPr>
    </w:p>
    <w:tbl>
      <w:tblPr>
        <w:tblStyle w:val="26"/>
        <w:tblW w:w="9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8094"/>
        <w:gridCol w:w="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211" w:firstLineChars="100"/>
              <w:jc w:val="center"/>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序号</w:t>
            </w:r>
          </w:p>
        </w:tc>
        <w:tc>
          <w:tcPr>
            <w:tcW w:w="8094" w:type="dxa"/>
            <w:tcBorders>
              <w:top w:val="single" w:color="auto" w:sz="4" w:space="0"/>
              <w:left w:val="nil"/>
              <w:bottom w:val="single" w:color="auto" w:sz="4" w:space="0"/>
              <w:right w:val="single" w:color="auto" w:sz="4" w:space="0"/>
            </w:tcBorders>
            <w:vAlign w:val="center"/>
          </w:tcPr>
          <w:p>
            <w:pPr>
              <w:spacing w:line="240" w:lineRule="auto"/>
              <w:ind w:firstLine="422"/>
              <w:jc w:val="center"/>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技术参数要求</w:t>
            </w:r>
          </w:p>
        </w:tc>
        <w:tc>
          <w:tcPr>
            <w:tcW w:w="470"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一、</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主要功能：</w:t>
            </w:r>
            <w:r>
              <w:rPr>
                <w:rFonts w:hint="eastAsia" w:ascii="宋体" w:hAnsi="宋体" w:cs="宋体"/>
                <w:color w:val="0D0D0D" w:themeColor="text1" w:themeTint="F2"/>
                <w:szCs w:val="21"/>
                <w14:textFill>
                  <w14:solidFill>
                    <w14:schemeClr w14:val="tx1">
                      <w14:lumMod w14:val="95000"/>
                      <w14:lumOff w14:val="5000"/>
                    </w14:schemeClr>
                  </w14:solidFill>
                </w14:textFill>
              </w:rPr>
              <w:t>以悬吊技术为核心，与滑轨技术紧密连接，并结合其他康复训练有关的的辅助设备，实现个体化训练，多人化训练同时进，并针对性训练。恢复患者平衡功能，协调能力、控制能力、支配能力，缓解全身痉挛状态，改善关节活动度，增强肌力，达到中枢神经系统的通路重建功能。集神经发育疗法、感觉统合训练、平衡姿态矫正，引导教育于一体，用于肌张力的缓解、肌力的增强、平衡协调性的提高。</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color w:val="0D0D0D" w:themeColor="text1" w:themeTint="F2"/>
                <w:kern w:val="0"/>
                <w:szCs w:val="21"/>
                <w14:textFill>
                  <w14:solidFill>
                    <w14:schemeClr w14:val="tx1">
                      <w14:lumMod w14:val="95000"/>
                      <w14:lumOff w14:val="5000"/>
                    </w14:schemeClr>
                  </w14:solidFill>
                </w14:textFill>
              </w:rPr>
              <w:t>二、</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
                <w:color w:val="0D0D0D" w:themeColor="text1" w:themeTint="F2"/>
                <w:kern w:val="0"/>
                <w:szCs w:val="21"/>
                <w14:textFill>
                  <w14:solidFill>
                    <w14:schemeClr w14:val="tx1">
                      <w14:lumMod w14:val="95000"/>
                      <w14:lumOff w14:val="5000"/>
                    </w14:schemeClr>
                  </w14:solidFill>
                </w14:textFill>
              </w:rPr>
              <w:t>适用范围：</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3个月-18岁</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21"/>
                <w14:textFill>
                  <w14:solidFill>
                    <w14:schemeClr w14:val="tx1">
                      <w14:lumMod w14:val="95000"/>
                      <w14:lumOff w14:val="5000"/>
                    </w14:schemeClr>
                  </w14:solidFill>
                </w14:textFill>
              </w:rPr>
              <w:t>三、</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21"/>
                <w14:textFill>
                  <w14:solidFill>
                    <w14:schemeClr w14:val="tx1">
                      <w14:lumMod w14:val="95000"/>
                      <w14:lumOff w14:val="5000"/>
                    </w14:schemeClr>
                  </w14:solidFill>
                </w14:textFill>
              </w:rPr>
              <w:t>基本配置：</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color w:val="0D0D0D" w:themeColor="text1" w:themeTint="F2"/>
                <w:kern w:val="0"/>
                <w:szCs w:val="21"/>
                <w14:textFill>
                  <w14:solidFill>
                    <w14:schemeClr w14:val="tx1">
                      <w14:lumMod w14:val="95000"/>
                      <w14:lumOff w14:val="5000"/>
                    </w14:schemeClr>
                  </w14:solidFill>
                </w14:textFill>
              </w:rPr>
              <w:t>1、</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
                <w:color w:val="0D0D0D" w:themeColor="text1" w:themeTint="F2"/>
                <w:kern w:val="0"/>
                <w:szCs w:val="21"/>
                <w14:textFill>
                  <w14:solidFill>
                    <w14:schemeClr w14:val="tx1">
                      <w14:lumMod w14:val="95000"/>
                      <w14:lumOff w14:val="5000"/>
                    </w14:schemeClr>
                  </w14:solidFill>
                </w14:textFill>
              </w:rPr>
              <w:t>滑 轨：</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★1.1</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直线滑轨：钢化铝合金材质，承重大于200KG，滑轨外形尺寸</w:t>
            </w:r>
            <w:r>
              <w:rPr>
                <w:rFonts w:hint="eastAsia" w:ascii="宋体" w:hAnsi="宋体" w:cs="宋体"/>
                <w:color w:val="0D0D0D" w:themeColor="text1" w:themeTint="F2"/>
                <w:szCs w:val="21"/>
                <w14:textFill>
                  <w14:solidFill>
                    <w14:schemeClr w14:val="tx1">
                      <w14:lumMod w14:val="95000"/>
                      <w14:lumOff w14:val="5000"/>
                    </w14:schemeClr>
                  </w14:solidFill>
                </w14:textFill>
              </w:rPr>
              <w:t>≥</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81*67mm，内径</w:t>
            </w:r>
            <w:r>
              <w:rPr>
                <w:rFonts w:hint="eastAsia" w:ascii="宋体" w:hAnsi="宋体" w:cs="宋体"/>
                <w:color w:val="0D0D0D" w:themeColor="text1" w:themeTint="F2"/>
                <w:szCs w:val="21"/>
                <w14:textFill>
                  <w14:solidFill>
                    <w14:schemeClr w14:val="tx1">
                      <w14:lumMod w14:val="95000"/>
                      <w14:lumOff w14:val="5000"/>
                    </w14:schemeClr>
                  </w14:solidFill>
                </w14:textFill>
              </w:rPr>
              <w:t>≥</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53mm，滑轨上部具有独立凹槽2组用于滑轨部分固定安装；滑轨下部具有独立凹槽1组用于四轮静音滑车固定与滑行。长度8米，数量：2根，顶式安装，与椭圆形滑轨对接。</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★1.2</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闭链型连接半椭圆形滑轨 ：半椭圆型，直径2米，数量2根，承重大于200KG，滑轨外形尺寸</w:t>
            </w:r>
            <w:r>
              <w:rPr>
                <w:rFonts w:hint="eastAsia" w:ascii="宋体" w:hAnsi="宋体" w:cs="宋体"/>
                <w:color w:val="0D0D0D" w:themeColor="text1" w:themeTint="F2"/>
                <w:szCs w:val="21"/>
                <w14:textFill>
                  <w14:solidFill>
                    <w14:schemeClr w14:val="tx1">
                      <w14:lumMod w14:val="95000"/>
                      <w14:lumOff w14:val="5000"/>
                    </w14:schemeClr>
                  </w14:solidFill>
                </w14:textFill>
              </w:rPr>
              <w:t>≥</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81*67mm，内径</w:t>
            </w:r>
            <w:r>
              <w:rPr>
                <w:rFonts w:hint="eastAsia" w:ascii="宋体" w:hAnsi="宋体" w:cs="宋体"/>
                <w:color w:val="0D0D0D" w:themeColor="text1" w:themeTint="F2"/>
                <w:szCs w:val="21"/>
                <w14:textFill>
                  <w14:solidFill>
                    <w14:schemeClr w14:val="tx1">
                      <w14:lumMod w14:val="95000"/>
                      <w14:lumOff w14:val="5000"/>
                    </w14:schemeClr>
                  </w14:solidFill>
                </w14:textFill>
              </w:rPr>
              <w:t>≥</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53mm，滑轨上部具有独立凹槽2组用于滑轨部分固定安装；滑轨下部具有独立凹槽1组用于四轮静音滑车固定与滑行。可与直线滑轨实现无缝对接， 对接后形成内径</w:t>
            </w:r>
            <w:r>
              <w:rPr>
                <w:rFonts w:hint="eastAsia" w:ascii="宋体" w:hAnsi="宋体" w:cs="宋体"/>
                <w:color w:val="0D0D0D" w:themeColor="text1" w:themeTint="F2"/>
                <w:kern w:val="0"/>
                <w:sz w:val="24"/>
                <w14:textFill>
                  <w14:solidFill>
                    <w14:schemeClr w14:val="tx1">
                      <w14:lumMod w14:val="95000"/>
                      <w14:lumOff w14:val="5000"/>
                    </w14:schemeClr>
                  </w14:solidFill>
                </w14:textFill>
              </w:rPr>
              <w:t>≤</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10米，周长24.8米的椭圆。</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w:t>
            </w:r>
            <w:r>
              <w:rPr>
                <w:rFonts w:hint="eastAsia" w:ascii="宋体" w:hAnsi="宋体" w:cs="宋体"/>
                <w:b/>
                <w:bCs/>
                <w:color w:val="0D0D0D" w:themeColor="text1" w:themeTint="F2"/>
                <w:kern w:val="0"/>
                <w:szCs w:val="21"/>
                <w14:textFill>
                  <w14:solidFill>
                    <w14:schemeClr w14:val="tx1">
                      <w14:lumMod w14:val="95000"/>
                      <w14:lumOff w14:val="5000"/>
                    </w14:schemeClr>
                  </w14:solidFill>
                </w14:textFill>
              </w:rPr>
              <w:t>2、</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滑车：弯道滑车组及三角翼挂件，功能：有刹车及任意角度定位装置。材质不锈钢，三角型尺寸</w:t>
            </w:r>
            <w:r>
              <w:rPr>
                <w:rFonts w:hint="eastAsia" w:ascii="宋体" w:hAnsi="宋体" w:cs="宋体"/>
                <w:color w:val="0D0D0D" w:themeColor="text1" w:themeTint="F2"/>
                <w:szCs w:val="21"/>
                <w14:textFill>
                  <w14:solidFill>
                    <w14:schemeClr w14:val="tx1">
                      <w14:lumMod w14:val="95000"/>
                      <w14:lumOff w14:val="5000"/>
                    </w14:schemeClr>
                  </w14:solidFill>
                </w14:textFill>
              </w:rPr>
              <w:t>≥</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7*7*6.3CM，数量：7个</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w:t>
            </w:r>
            <w:r>
              <w:rPr>
                <w:rFonts w:hint="eastAsia" w:ascii="宋体" w:hAnsi="宋体" w:cs="宋体"/>
                <w:b/>
                <w:color w:val="0D0D0D" w:themeColor="text1" w:themeTint="F2"/>
                <w:kern w:val="0"/>
                <w:szCs w:val="21"/>
                <w14:textFill>
                  <w14:solidFill>
                    <w14:schemeClr w14:val="tx1">
                      <w14:lumMod w14:val="95000"/>
                      <w14:lumOff w14:val="5000"/>
                    </w14:schemeClr>
                  </w14:solidFill>
                </w14:textFill>
              </w:rPr>
              <w:t>3、</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悬吊器：外形尺寸：</w:t>
            </w:r>
            <w:r>
              <w:rPr>
                <w:rFonts w:hint="eastAsia" w:ascii="宋体" w:hAnsi="宋体" w:cs="宋体"/>
                <w:color w:val="0D0D0D" w:themeColor="text1" w:themeTint="F2"/>
                <w:szCs w:val="21"/>
                <w14:textFill>
                  <w14:solidFill>
                    <w14:schemeClr w14:val="tx1">
                      <w14:lumMod w14:val="95000"/>
                      <w14:lumOff w14:val="5000"/>
                    </w14:schemeClr>
                  </w14:solidFill>
                </w14:textFill>
              </w:rPr>
              <w:t>≥</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670*180*70mm，配备2根5米红绳，内置2个不锈钢安全钩，内有锁定装置，具备任意滑动位置随时锁定的效果。  数量：9套（2个顶式安装）</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b/>
                <w:bCs/>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4、</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b/>
                <w:bCs/>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分组训练装置：</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4.1</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平衡协调训练系统：</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4.1.1</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方形晃板：木质四角有连接环，尺寸</w:t>
            </w:r>
            <w:r>
              <w:rPr>
                <w:rFonts w:hint="eastAsia" w:ascii="宋体" w:hAnsi="宋体" w:cs="宋体"/>
                <w:color w:val="0D0D0D" w:themeColor="text1" w:themeTint="F2"/>
                <w:szCs w:val="21"/>
                <w14:textFill>
                  <w14:solidFill>
                    <w14:schemeClr w14:val="tx1">
                      <w14:lumMod w14:val="95000"/>
                      <w14:lumOff w14:val="5000"/>
                    </w14:schemeClr>
                  </w14:solidFill>
                </w14:textFill>
              </w:rPr>
              <w:t>≥</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1000*1000*30mm，软包 ；</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Cs/>
                <w:color w:val="0D0D0D" w:themeColor="text1" w:themeTint="F2"/>
                <w:kern w:val="0"/>
                <w:szCs w:val="21"/>
                <w14:textFill>
                  <w14:solidFill>
                    <w14:schemeClr w14:val="tx1">
                      <w14:lumMod w14:val="95000"/>
                      <w14:lumOff w14:val="5000"/>
                    </w14:schemeClr>
                  </w14:solidFill>
                </w14:textFill>
              </w:rPr>
              <w:t>4.1.2</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滑索红绳2根（绳长60cm）；</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4.2</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支撑摆动训练系统：</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4.2.1</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支撑摆动训练器：9mm复合板，最大承重不低于50KG，尺寸：≥640*380mm；</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4.2.2</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红绳2根（两边均为锁扣）长度：1.5米；绳夹2个；手扶装置2件</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4.3</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感觉运动训练系统：</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4.3.1</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吊袋1套，最大承重不低于100KG，尺寸：≥1600*1100mm；</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4.3.2</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吊船1套，最大承重不低于150KG，尺寸：≥1750*800*180mm；</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4.4</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知动运动训练系统：</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4.4.1</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绳梯（配两块坐扳）1套，最大承重不低于150KG，尺寸：≥1730*1000mm；</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4.4.2</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悬吊棒1根，最大承重不低于150KG，尺寸：≥42*1100mm；</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b/>
                <w:bCs/>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4.4.3</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b/>
                <w:bCs/>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悬吊棒2根，最大承重不低于50KG，材料：木制/钢；</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4.4.4</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滑索悬带2根（绳长：75mm，全长1.1米）；</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4.4.5</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悬吊鞋1对，最大承重不低于150KG，尺寸：≥177*100*65mm；</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4.4.6</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绳钩6个，材质碳钢；</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4.5</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儿童行走及爬行训练装置</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4.5.1</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行走装具1组</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4.5.2</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悬带1套（2个）</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4.5.3</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平衡气垫2个</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4.5.4</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治疗作业板1套</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4.5.5</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训练作业板1套</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4.5.6</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平衡板1套</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b/>
                <w:bCs/>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w:t>
            </w:r>
            <w:r>
              <w:rPr>
                <w:rFonts w:hint="eastAsia" w:ascii="宋体" w:hAnsi="宋体" w:cs="宋体"/>
                <w:bCs/>
                <w:color w:val="0D0D0D" w:themeColor="text1" w:themeTint="F2"/>
                <w:szCs w:val="21"/>
                <w14:textFill>
                  <w14:solidFill>
                    <w14:schemeClr w14:val="tx1">
                      <w14:lumMod w14:val="95000"/>
                      <w14:lumOff w14:val="5000"/>
                    </w14:schemeClr>
                  </w14:solidFill>
                </w14:textFill>
              </w:rPr>
              <w:t>4.5.7</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b/>
                <w:bCs/>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滑索手把2个</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4.5.8</w:t>
            </w:r>
          </w:p>
        </w:tc>
        <w:tc>
          <w:tcPr>
            <w:tcW w:w="8094"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宽悬带2个</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4.5.9</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Cs/>
                <w:color w:val="0D0D0D" w:themeColor="text1" w:themeTint="F2"/>
                <w:szCs w:val="21"/>
                <w14:textFill>
                  <w14:solidFill>
                    <w14:schemeClr w14:val="tx1">
                      <w14:lumMod w14:val="95000"/>
                      <w14:lumOff w14:val="5000"/>
                    </w14:schemeClr>
                  </w14:solidFill>
                </w14:textFill>
              </w:rPr>
              <w:t>横抱桶1个</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4.6</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抗阻力运动训练系统：（2套）</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4.6.1</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滑索弹性绳       长30cm     高阻力   附栓扣      2根；</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4.6.2</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滑索弹性绳       长30cm     中阻力   附栓扣      2根；</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4.6.3</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滑索弹性绳       长30cm     低阻力   附栓扣      2根；</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b/>
                <w:bCs/>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4.6.4</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b/>
                <w:bCs/>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滑索弹性绳       长60cm     高阻力   附栓扣      2根；</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4.6.5</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滑索弹性绳       长60cm     中阻力   附栓扣      2根；</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4.6.6</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滑索弹性绳       长60cm     低阻力   附栓扣      2根；</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4.7</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早期刺激摆动装置：</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4.7.1</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9mm复合板，尺寸：≥850*800*120mm。</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4.7.2</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红绳2根（两边均为锁扣）长度：1.5米；绳夹2个；</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b/>
                <w:bCs/>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4.7.3</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b/>
                <w:bCs/>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红带1根（长度1.5米）；</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4.8</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感觉运动训练装置：</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4.8.1</w:t>
            </w:r>
          </w:p>
        </w:tc>
        <w:tc>
          <w:tcPr>
            <w:tcW w:w="8094"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平衡凳1套，最大承重不低于150KG，         尺寸：≥1260*600*400mm；</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4.8.2</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木塔（配合平衡登使用），                    尺寸：≥500*380*190mm；</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4.8.3</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多功能棒1根，   最大承重不低于150KG，    尺寸：≥645*85mm；</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w:t>
            </w:r>
            <w:r>
              <w:rPr>
                <w:rFonts w:hint="eastAsia" w:ascii="宋体" w:hAnsi="宋体" w:cs="宋体"/>
                <w:b/>
                <w:bCs/>
                <w:color w:val="0D0D0D" w:themeColor="text1" w:themeTint="F2"/>
                <w:szCs w:val="21"/>
                <w14:textFill>
                  <w14:solidFill>
                    <w14:schemeClr w14:val="tx1">
                      <w14:lumMod w14:val="95000"/>
                      <w14:lumOff w14:val="5000"/>
                    </w14:schemeClr>
                  </w14:solidFill>
                </w14:textFill>
              </w:rPr>
              <w:t>4.9</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悬吊旋转滚筒：</w:t>
            </w:r>
            <w:r>
              <w:rPr>
                <w:rFonts w:hint="eastAsia" w:ascii="宋体" w:hAnsi="宋体" w:cs="宋体"/>
                <w:color w:val="0D0D0D" w:themeColor="text1" w:themeTint="F2"/>
                <w:szCs w:val="21"/>
                <w14:textFill>
                  <w14:solidFill>
                    <w14:schemeClr w14:val="tx1">
                      <w14:lumMod w14:val="95000"/>
                      <w14:lumOff w14:val="5000"/>
                    </w14:schemeClr>
                  </w14:solidFill>
                </w14:textFill>
              </w:rPr>
              <w:t>150*800mm 材质：金属软包  功能：可固定、90°区间或360°自由旋转。</w:t>
            </w:r>
            <w:r>
              <w:rPr>
                <w:rFonts w:hint="eastAsia" w:ascii="宋体" w:hAnsi="宋体" w:cs="宋体"/>
                <w:b/>
                <w:bCs/>
                <w:color w:val="0D0D0D" w:themeColor="text1" w:themeTint="F2"/>
                <w:szCs w:val="21"/>
                <w14:textFill>
                  <w14:solidFill>
                    <w14:schemeClr w14:val="tx1">
                      <w14:lumMod w14:val="95000"/>
                      <w14:lumOff w14:val="5000"/>
                    </w14:schemeClr>
                  </w14:solidFill>
                </w14:textFill>
              </w:rPr>
              <w:t>数量</w:t>
            </w:r>
            <w:r>
              <w:rPr>
                <w:rFonts w:hint="eastAsia" w:ascii="宋体" w:hAnsi="宋体" w:cs="宋体"/>
                <w:color w:val="0D0D0D" w:themeColor="text1" w:themeTint="F2"/>
                <w:szCs w:val="21"/>
                <w14:textFill>
                  <w14:solidFill>
                    <w14:schemeClr w14:val="tx1">
                      <w14:lumMod w14:val="95000"/>
                      <w14:lumOff w14:val="5000"/>
                    </w14:schemeClr>
                  </w14:solidFill>
                </w14:textFill>
              </w:rPr>
              <w:t>：2个。</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五、</w:t>
            </w:r>
          </w:p>
        </w:tc>
        <w:tc>
          <w:tcPr>
            <w:tcW w:w="8094"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适</w:t>
            </w:r>
            <w:r>
              <w:rPr>
                <w:rFonts w:hint="eastAsia" w:ascii="宋体" w:hAnsi="宋体" w:cs="宋体"/>
                <w:color w:val="0D0D0D" w:themeColor="text1" w:themeTint="F2"/>
                <w:szCs w:val="21"/>
                <w14:textFill>
                  <w14:solidFill>
                    <w14:schemeClr w14:val="tx1">
                      <w14:lumMod w14:val="95000"/>
                      <w14:lumOff w14:val="5000"/>
                    </w14:schemeClr>
                  </w14:solidFill>
                </w14:textFill>
              </w:rPr>
              <w:t>应症：弱智、脑瘫儿童感觉统合失调、儿童注意力不集中、儿童孤独症、儿童斜颈、儿童骨盆倾斜、儿童脊柱倾斜等方面的训练康复都有非常好的疗效。</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b/>
                <w:bCs/>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六、</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其他相关企业产品资质</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具有国家康复器械质量监督检验中心出具的检验报告；</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具有质量技术监督管理部门备案的有效期内的企业标准；</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▲3、</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须安排培训，培训考核合格，颁发国家级儿童悬吊培训证书；</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  4、</w:t>
            </w:r>
          </w:p>
        </w:tc>
        <w:tc>
          <w:tcPr>
            <w:tcW w:w="809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具有儿童滑轨悬吊装置专利证书；</w:t>
            </w:r>
          </w:p>
        </w:tc>
        <w:tc>
          <w:tcPr>
            <w:tcW w:w="470" w:type="dxa"/>
            <w:tcBorders>
              <w:top w:val="single" w:color="auto" w:sz="4" w:space="0"/>
              <w:left w:val="nil"/>
              <w:bottom w:val="single" w:color="auto" w:sz="4" w:space="0"/>
              <w:right w:val="single" w:color="auto" w:sz="4" w:space="0"/>
            </w:tcBorders>
            <w:vAlign w:val="center"/>
          </w:tcPr>
          <w:p>
            <w:pPr>
              <w:widowControl/>
              <w:spacing w:line="240" w:lineRule="auto"/>
              <w:ind w:firstLine="420"/>
              <w:jc w:val="left"/>
              <w:rPr>
                <w:rFonts w:ascii="宋体" w:hAnsi="宋体" w:cs="宋体"/>
                <w:color w:val="0D0D0D" w:themeColor="text1" w:themeTint="F2"/>
                <w:kern w:val="0"/>
                <w:szCs w:val="21"/>
                <w14:textFill>
                  <w14:solidFill>
                    <w14:schemeClr w14:val="tx1">
                      <w14:lumMod w14:val="95000"/>
                      <w14:lumOff w14:val="5000"/>
                    </w14:schemeClr>
                  </w14:solidFill>
                </w14:textFill>
              </w:rPr>
            </w:pPr>
          </w:p>
        </w:tc>
      </w:tr>
    </w:tbl>
    <w:p>
      <w:pPr>
        <w:pStyle w:val="5"/>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br w:type="page"/>
      </w:r>
    </w:p>
    <w:p>
      <w:pPr>
        <w:adjustRightInd w:val="0"/>
        <w:snapToGrid w:val="0"/>
        <w:spacing w:line="312" w:lineRule="auto"/>
        <w:jc w:val="center"/>
        <w:rPr>
          <w:rFonts w:hint="eastAsia" w:ascii="宋体" w:hAnsi="宋体" w:eastAsia="宋体" w:cs="宋体"/>
          <w:b/>
          <w:color w:val="auto"/>
          <w:sz w:val="21"/>
          <w:szCs w:val="21"/>
        </w:rPr>
      </w:pPr>
      <w:bookmarkStart w:id="92" w:name="_Toc483154741"/>
      <w:r>
        <w:rPr>
          <w:rFonts w:hint="eastAsia" w:ascii="宋体" w:hAnsi="宋体" w:eastAsia="宋体" w:cs="宋体"/>
          <w:b/>
          <w:bCs/>
          <w:color w:val="auto"/>
          <w:sz w:val="21"/>
          <w:szCs w:val="21"/>
        </w:rPr>
        <w:t>天轨系统招标</w:t>
      </w:r>
      <w:r>
        <w:rPr>
          <w:rFonts w:hint="eastAsia" w:ascii="宋体" w:hAnsi="宋体" w:eastAsia="宋体" w:cs="宋体"/>
          <w:b/>
          <w:color w:val="auto"/>
          <w:sz w:val="21"/>
          <w:szCs w:val="21"/>
        </w:rPr>
        <w:t>参数</w:t>
      </w:r>
    </w:p>
    <w:p>
      <w:pPr>
        <w:adjustRightInd w:val="0"/>
        <w:snapToGrid w:val="0"/>
        <w:spacing w:line="312" w:lineRule="auto"/>
        <w:ind w:left="0" w:leftChars="0" w:firstLine="0" w:firstLineChars="0"/>
        <w:rPr>
          <w:rFonts w:hint="eastAsia" w:ascii="宋体" w:hAnsi="宋体" w:eastAsia="宋体" w:cs="宋体"/>
          <w:b/>
          <w:color w:val="auto"/>
          <w:sz w:val="21"/>
          <w:szCs w:val="21"/>
        </w:rPr>
      </w:pPr>
    </w:p>
    <w:bookmarkEnd w:id="92"/>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8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Pr>
          <w:p>
            <w:pPr>
              <w:ind w:firstLine="422"/>
              <w:jc w:val="center"/>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序号</w:t>
            </w:r>
          </w:p>
        </w:tc>
        <w:tc>
          <w:tcPr>
            <w:tcW w:w="8081" w:type="dxa"/>
          </w:tcPr>
          <w:p>
            <w:pPr>
              <w:ind w:firstLine="422"/>
              <w:jc w:val="center"/>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2"/>
              <w:jc w:val="center"/>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1</w:t>
            </w:r>
          </w:p>
        </w:tc>
        <w:tc>
          <w:tcPr>
            <w:tcW w:w="8081" w:type="dxa"/>
          </w:tcPr>
          <w:p>
            <w:pPr>
              <w:ind w:firstLine="422"/>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轨道：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▲1.1</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轨道为原装进口高强度铝镁合金材质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★1.2</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实时全轨充电轨道，无需在固定地点充电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▲1.3</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表层具有阳极氧化膜防锈功能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1.4</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轨道配置具有30º、45º、60º、90º弯度轨道,选择范围广泛；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1.5</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90度倒岔轨可供选择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1.6</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有三方向转向角和四方向转向盘及轨道对接连接锁等附属部件可供选择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1.7</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轨道内置定位锁装置,可在任意位置锁定轨道和吊机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1.8</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远红外遥控控制连接锁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▲1.9</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轨道定位锁，可以固定轨道和吊机，方便治疗使用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1.10</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轨道可根据建筑物结构特点，使用适合加固和天花板镶嵌的安装方式，连接紧密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1.11</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所有轨道操作控制可升级电动、远红外激光遥控系统；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▲1.12</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单根轨道, ≥ 200Kg承重轨道跨度≥8米，≥250Kg承重轨道跨度≥7.25米；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1.13</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轨道可升级为内置吊机式轨道系统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1.14</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≥3种不同跨度的的轨道可供选择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1.15</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轨道滑车可升级红外驱动系统,合理控制滑动范围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1.16</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配套轨道保护面板,避免轨道因外力撞击损坏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1.17</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提供轨道基础色板,可根据安装场景色彩自由搭配轨道外观颜色.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2"/>
              <w:jc w:val="center"/>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2</w:t>
            </w:r>
          </w:p>
        </w:tc>
        <w:tc>
          <w:tcPr>
            <w:tcW w:w="8081" w:type="dxa"/>
          </w:tcPr>
          <w:p>
            <w:pPr>
              <w:ind w:firstLine="422"/>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吊机：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内置可充电电池的实时全轨充电型吊机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2.2</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吊机的使用寿命不低于10年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▲2.3</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内置式称重模块或集成式称重模块。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2.4</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LED显示手动控制器，可升级管理模块，精确管理悬吊高度、次数等记忆功能、定期维护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2.5</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有USB接口与医疗电子病历系统实现医疗信息共享；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2.6</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水疗等潮湿环境中，可以对吊机做防水处理，避免机头损坏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2.7</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每台吊机内置蓄电池2组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2.8</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最大承载时提升速度≥30mm/秒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2.9</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吊机有效使用寿命≥20000次吊放次数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2.10</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低电压安全保护嗡鸣+LED灯提示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2.11</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吊机内具有误操作安全保护功能；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2.12</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高级内置安全曳引减速装置，可实现智能紧急停止和快速安全降低功能；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2.13</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吊机启动和停止顺畅无阻以及接近静音的滑行移动；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2.14</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最大提升高度≥2500mm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2.15</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至少包含以下5种意外情况报警功能：负重带上没有重量，负重带上过载，负重带到达底部位置，负重带到达了顶部位置，负重带缠绕卷曲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2.16</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负重偏离垂直线≥30°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2.17</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轨道和吊机为同一品牌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▲2.18</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多种≥4种机头可供临床选择使用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2.19</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机头拆卸方便,可多病房共同使用同一台吊机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2"/>
              <w:jc w:val="center"/>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3</w:t>
            </w:r>
          </w:p>
        </w:tc>
        <w:tc>
          <w:tcPr>
            <w:tcW w:w="8081" w:type="dxa"/>
          </w:tcPr>
          <w:p>
            <w:pPr>
              <w:ind w:firstLine="422"/>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吊带及吊钩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3.1</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多种材质与结构吊带可供选择,实现不同功能需求状态下的对病人地安全保护,均支持高温高压消毒.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3.2</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步态训练专用吊带,重复性使用,从儿童到成人均有不同尺寸吊带支持。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3.3</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洗浴、水疗、ICU等专用专业单人次吊带可供选择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3.4</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吊带可承受拉力≥250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3.5</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标准型吊杆吊架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3.6</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吊钩吊架承载强度≥500KG。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3.7</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≥10种不同型号吊带可供医院选择使用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2"/>
              <w:jc w:val="center"/>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4</w:t>
            </w:r>
          </w:p>
        </w:tc>
        <w:tc>
          <w:tcPr>
            <w:tcW w:w="8081" w:type="dxa"/>
          </w:tcPr>
          <w:p>
            <w:pPr>
              <w:ind w:firstLine="422"/>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认证体系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4.1</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CE认证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4.2</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主机符合EN ISO 10535, IEC 60601-1, EN 60601-1-2, ANSI/AAMI ES60601-1 和CAN/CSA C22.2 no.60601-1标准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4.3</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具有SFDA 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4.4</w:t>
            </w:r>
          </w:p>
        </w:tc>
        <w:tc>
          <w:tcPr>
            <w:tcW w:w="8081" w:type="dxa"/>
          </w:tcPr>
          <w:p>
            <w:pPr>
              <w:ind w:firstLine="42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具有厂方培训资质的工程师负责所有轨道的安装和培训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2"/>
              <w:jc w:val="center"/>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5</w:t>
            </w:r>
          </w:p>
        </w:tc>
        <w:tc>
          <w:tcPr>
            <w:tcW w:w="8081" w:type="dxa"/>
          </w:tcPr>
          <w:p>
            <w:pPr>
              <w:ind w:firstLine="422"/>
              <w:rPr>
                <w:rFonts w:ascii="宋体" w:hAnsi="宋体" w:cs="宋体"/>
                <w:b/>
                <w:bCs/>
                <w:color w:val="0D0D0D" w:themeColor="text1" w:themeTint="F2"/>
                <w:szCs w:val="21"/>
                <w14:textFill>
                  <w14:solidFill>
                    <w14:schemeClr w14:val="tx1">
                      <w14:lumMod w14:val="95000"/>
                      <w14:lumOff w14:val="5000"/>
                    </w14:schemeClr>
                  </w14:solidFill>
                </w14:textFill>
              </w:rPr>
            </w:pPr>
            <w:r>
              <w:rPr>
                <w:rFonts w:hint="eastAsia" w:ascii="宋体" w:hAnsi="宋体" w:cs="宋体"/>
                <w:b/>
                <w:bCs/>
                <w:color w:val="0D0D0D" w:themeColor="text1" w:themeTint="F2"/>
                <w:szCs w:val="21"/>
                <w14:textFill>
                  <w14:solidFill>
                    <w14:schemeClr w14:val="tx1">
                      <w14:lumMod w14:val="95000"/>
                      <w14:lumOff w14:val="5000"/>
                    </w14:schemeClr>
                  </w14:solidFill>
                </w14:textFill>
              </w:rPr>
              <w:t>配置方案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5.1</w:t>
            </w:r>
          </w:p>
        </w:tc>
        <w:tc>
          <w:tcPr>
            <w:tcW w:w="8081" w:type="dxa"/>
            <w:vAlign w:val="center"/>
          </w:tcPr>
          <w:p>
            <w:pPr>
              <w:ind w:firstLine="42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全轨充电型吊机                               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5.2</w:t>
            </w:r>
          </w:p>
        </w:tc>
        <w:tc>
          <w:tcPr>
            <w:tcW w:w="8081" w:type="dxa"/>
            <w:vAlign w:val="center"/>
          </w:tcPr>
          <w:p>
            <w:pPr>
              <w:ind w:firstLine="42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全轨充电型轨道                               31米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5.3</w:t>
            </w:r>
          </w:p>
        </w:tc>
        <w:tc>
          <w:tcPr>
            <w:tcW w:w="8081" w:type="dxa"/>
            <w:vAlign w:val="center"/>
          </w:tcPr>
          <w:p>
            <w:pPr>
              <w:ind w:firstLine="42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2米长90°弯轨                               6米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5.4</w:t>
            </w:r>
          </w:p>
        </w:tc>
        <w:tc>
          <w:tcPr>
            <w:tcW w:w="8081" w:type="dxa"/>
            <w:vAlign w:val="center"/>
          </w:tcPr>
          <w:p>
            <w:pPr>
              <w:ind w:firstLine="42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90°倒岔轨道                                 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5.5</w:t>
            </w:r>
          </w:p>
        </w:tc>
        <w:tc>
          <w:tcPr>
            <w:tcW w:w="8081" w:type="dxa"/>
            <w:vAlign w:val="center"/>
          </w:tcPr>
          <w:p>
            <w:pPr>
              <w:ind w:firstLine="42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防水型四驱全轨充电型吊机                     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5.6</w:t>
            </w:r>
          </w:p>
        </w:tc>
        <w:tc>
          <w:tcPr>
            <w:tcW w:w="8081" w:type="dxa"/>
            <w:vAlign w:val="center"/>
          </w:tcPr>
          <w:p>
            <w:pPr>
              <w:ind w:firstLine="42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防水型全轨充电型轨道                         33.6米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5.7</w:t>
            </w:r>
          </w:p>
        </w:tc>
        <w:tc>
          <w:tcPr>
            <w:tcW w:w="8081" w:type="dxa"/>
            <w:vAlign w:val="center"/>
          </w:tcPr>
          <w:p>
            <w:pPr>
              <w:ind w:firstLine="42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高强度防水型全轨充电型轨道                   5.5米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5.8</w:t>
            </w:r>
          </w:p>
        </w:tc>
        <w:tc>
          <w:tcPr>
            <w:tcW w:w="8081" w:type="dxa"/>
            <w:vAlign w:val="center"/>
          </w:tcPr>
          <w:p>
            <w:pPr>
              <w:ind w:firstLine="42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轨道滑车                                     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5.9</w:t>
            </w:r>
          </w:p>
        </w:tc>
        <w:tc>
          <w:tcPr>
            <w:tcW w:w="8081" w:type="dxa"/>
            <w:vAlign w:val="center"/>
          </w:tcPr>
          <w:p>
            <w:pPr>
              <w:ind w:firstLine="42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定位锁                                       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5.10</w:t>
            </w:r>
          </w:p>
        </w:tc>
        <w:tc>
          <w:tcPr>
            <w:tcW w:w="8081" w:type="dxa"/>
            <w:vAlign w:val="center"/>
          </w:tcPr>
          <w:p>
            <w:pPr>
              <w:ind w:firstLine="42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标准型吊杆                                   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5.11</w:t>
            </w:r>
          </w:p>
        </w:tc>
        <w:tc>
          <w:tcPr>
            <w:tcW w:w="8081" w:type="dxa"/>
            <w:vAlign w:val="center"/>
          </w:tcPr>
          <w:p>
            <w:pPr>
              <w:ind w:firstLine="42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步态训练专用型吊带                           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5.12</w:t>
            </w:r>
          </w:p>
        </w:tc>
        <w:tc>
          <w:tcPr>
            <w:tcW w:w="8081" w:type="dxa"/>
            <w:vAlign w:val="center"/>
          </w:tcPr>
          <w:p>
            <w:pPr>
              <w:ind w:firstLine="42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水疗吊带                                     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ind w:firstLine="420"/>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5.13</w:t>
            </w:r>
          </w:p>
        </w:tc>
        <w:tc>
          <w:tcPr>
            <w:tcW w:w="8081" w:type="dxa"/>
            <w:vAlign w:val="center"/>
          </w:tcPr>
          <w:p>
            <w:pPr>
              <w:ind w:firstLine="42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轨道安装部件                                 若干</w:t>
            </w:r>
          </w:p>
        </w:tc>
      </w:tr>
    </w:tbl>
    <w:p>
      <w:pPr>
        <w:adjustRightInd w:val="0"/>
        <w:snapToGrid w:val="0"/>
        <w:spacing w:line="312" w:lineRule="auto"/>
        <w:ind w:left="482" w:hanging="422" w:hangingChars="200"/>
        <w:rPr>
          <w:rFonts w:hint="eastAsia" w:ascii="宋体" w:hAnsi="宋体" w:eastAsia="宋体" w:cs="宋体"/>
          <w:b/>
          <w:color w:val="auto"/>
          <w:sz w:val="21"/>
          <w:szCs w:val="21"/>
        </w:rPr>
      </w:pPr>
    </w:p>
    <w:p>
      <w:pPr>
        <w:rPr>
          <w:rFonts w:hint="eastAsia" w:ascii="宋体" w:hAnsi="宋体" w:eastAsia="宋体" w:cs="宋体"/>
          <w:i w:val="0"/>
          <w:color w:val="auto"/>
          <w:kern w:val="0"/>
          <w:sz w:val="21"/>
          <w:szCs w:val="21"/>
          <w:u w:val="none"/>
          <w:lang w:val="en-US" w:eastAsia="zh-CN" w:bidi="ar"/>
        </w:rPr>
      </w:pPr>
    </w:p>
    <w:p>
      <w:pPr>
        <w:rPr>
          <w:rFonts w:hint="eastAsia" w:ascii="宋体" w:hAnsi="宋体" w:eastAsia="宋体" w:cs="宋体"/>
          <w:i w:val="0"/>
          <w:color w:val="auto"/>
          <w:kern w:val="0"/>
          <w:sz w:val="21"/>
          <w:szCs w:val="21"/>
          <w:u w:val="none"/>
          <w:lang w:val="en-US" w:eastAsia="zh-CN" w:bidi="ar"/>
        </w:rPr>
      </w:pPr>
    </w:p>
    <w:p>
      <w:pPr>
        <w:jc w:val="center"/>
        <w:rPr>
          <w:rFonts w:hint="eastAsia"/>
          <w:color w:val="auto"/>
          <w:lang w:val="en-US" w:eastAsia="zh-CN"/>
        </w:rPr>
      </w:pPr>
      <w:r>
        <w:rPr>
          <w:rFonts w:hint="eastAsia" w:ascii="宋体" w:hAnsi="宋体" w:eastAsia="宋体" w:cs="宋体"/>
          <w:i w:val="0"/>
          <w:color w:val="auto"/>
          <w:kern w:val="0"/>
          <w:sz w:val="21"/>
          <w:szCs w:val="21"/>
          <w:u w:val="none"/>
          <w:lang w:val="en-US" w:eastAsia="zh-CN" w:bidi="ar"/>
        </w:rPr>
        <w:t>设备数量汇总表</w:t>
      </w:r>
    </w:p>
    <w:p>
      <w:pPr>
        <w:rPr>
          <w:rFonts w:hint="default"/>
          <w:color w:val="auto"/>
          <w:lang w:val="en-US" w:eastAsia="zh-CN"/>
        </w:rPr>
      </w:pPr>
    </w:p>
    <w:tbl>
      <w:tblPr>
        <w:tblStyle w:val="26"/>
        <w:tblW w:w="9337" w:type="dxa"/>
        <w:tblInd w:w="0" w:type="dxa"/>
        <w:shd w:val="clear" w:color="auto" w:fill="auto"/>
        <w:tblLayout w:type="fixed"/>
        <w:tblCellMar>
          <w:top w:w="0" w:type="dxa"/>
          <w:left w:w="0" w:type="dxa"/>
          <w:bottom w:w="0" w:type="dxa"/>
          <w:right w:w="0" w:type="dxa"/>
        </w:tblCellMar>
      </w:tblPr>
      <w:tblGrid>
        <w:gridCol w:w="1327"/>
        <w:gridCol w:w="4635"/>
        <w:gridCol w:w="1755"/>
        <w:gridCol w:w="1620"/>
      </w:tblGrid>
      <w:tr>
        <w:tblPrEx>
          <w:shd w:val="clear" w:color="auto" w:fill="auto"/>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设备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单位</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数量</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b/>
                <w:bCs/>
                <w:color w:val="auto"/>
                <w:sz w:val="21"/>
                <w:szCs w:val="21"/>
              </w:rPr>
              <w:t>儿童椭圆型滑轨悬吊康复单元</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r>
              <w:rPr>
                <w:rFonts w:hint="eastAsia" w:ascii="宋体" w:hAnsi="宋体" w:cs="宋体"/>
                <w:i w:val="0"/>
                <w:color w:val="auto"/>
                <w:sz w:val="21"/>
                <w:szCs w:val="21"/>
                <w:u w:val="none"/>
                <w:lang w:val="en-US" w:eastAsia="zh-CN"/>
              </w:rPr>
              <w:t>1</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b/>
                <w:bCs/>
                <w:color w:val="auto"/>
                <w:sz w:val="21"/>
                <w:szCs w:val="21"/>
              </w:rPr>
              <w:t>天轨系统</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bl>
    <w:p>
      <w:pPr>
        <w:rPr>
          <w:rFonts w:hint="eastAsia" w:ascii="宋体" w:hAnsi="宋体" w:eastAsia="宋体" w:cs="宋体"/>
          <w:i w:val="0"/>
          <w:color w:val="auto"/>
          <w:kern w:val="0"/>
          <w:sz w:val="21"/>
          <w:szCs w:val="21"/>
          <w:u w:val="none"/>
          <w:lang w:val="en-US" w:eastAsia="zh-CN" w:bidi="ar"/>
        </w:rPr>
      </w:pPr>
    </w:p>
    <w:p>
      <w:pPr>
        <w:pStyle w:val="2"/>
        <w:rPr>
          <w:rFonts w:hint="eastAsia"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本</w:t>
      </w:r>
      <w:r>
        <w:rPr>
          <w:rFonts w:hint="eastAsia" w:cs="宋体" w:asciiTheme="minorEastAsia" w:hAnsiTheme="minorEastAsia" w:eastAsiaTheme="minorEastAsia"/>
          <w:b/>
          <w:bCs/>
          <w:color w:val="auto"/>
          <w:szCs w:val="21"/>
          <w:lang w:eastAsia="zh-CN"/>
        </w:rPr>
        <w:t>标</w:t>
      </w:r>
      <w:r>
        <w:rPr>
          <w:rFonts w:hint="eastAsia" w:cs="宋体" w:asciiTheme="minorEastAsia" w:hAnsiTheme="minorEastAsia" w:eastAsiaTheme="minorEastAsia"/>
          <w:b/>
          <w:bCs/>
          <w:color w:val="auto"/>
          <w:szCs w:val="21"/>
        </w:rPr>
        <w:t>项核心产品</w:t>
      </w:r>
    </w:p>
    <w:p>
      <w:pPr>
        <w:pStyle w:val="2"/>
        <w:rPr>
          <w:rFonts w:hint="default" w:cs="宋体" w:asciiTheme="minorEastAsia" w:hAnsiTheme="minorEastAsia" w:eastAsiaTheme="minorEastAsia"/>
          <w:b w:val="0"/>
          <w:bCs w:val="0"/>
          <w:color w:val="auto"/>
          <w:szCs w:val="21"/>
          <w:lang w:val="en-US" w:eastAsia="zh-CN"/>
        </w:rPr>
      </w:pPr>
      <w:r>
        <w:rPr>
          <w:rFonts w:hint="eastAsia" w:ascii="宋体" w:hAnsi="宋体" w:eastAsia="宋体" w:cs="宋体"/>
          <w:b w:val="0"/>
          <w:bCs w:val="0"/>
          <w:color w:val="auto"/>
          <w:sz w:val="21"/>
          <w:szCs w:val="21"/>
        </w:rPr>
        <w:t>天轨系统</w:t>
      </w:r>
    </w:p>
    <w:p>
      <w:pPr>
        <w:rPr>
          <w:rFonts w:hint="eastAsia" w:ascii="宋体" w:hAnsi="宋体" w:eastAsia="宋体" w:cs="宋体"/>
          <w:i w:val="0"/>
          <w:color w:val="auto"/>
          <w:kern w:val="0"/>
          <w:sz w:val="21"/>
          <w:szCs w:val="21"/>
          <w:u w:val="none"/>
          <w:lang w:val="en-US" w:eastAsia="zh-CN" w:bidi="ar"/>
        </w:rPr>
      </w:pPr>
    </w:p>
    <w:p>
      <w:pPr>
        <w:rPr>
          <w:rFonts w:hint="eastAsia" w:ascii="宋体" w:hAnsi="宋体" w:eastAsia="宋体" w:cs="宋体"/>
          <w:i w:val="0"/>
          <w:color w:val="auto"/>
          <w:kern w:val="0"/>
          <w:sz w:val="21"/>
          <w:szCs w:val="21"/>
          <w:u w:val="none"/>
          <w:lang w:val="en-US" w:eastAsia="zh-CN" w:bidi="ar"/>
        </w:rPr>
      </w:pPr>
    </w:p>
    <w:p>
      <w:pPr>
        <w:rPr>
          <w:rFonts w:hint="eastAsia" w:ascii="宋体" w:hAnsi="宋体" w:eastAsia="宋体" w:cs="宋体"/>
          <w:i w:val="0"/>
          <w:color w:val="auto"/>
          <w:kern w:val="0"/>
          <w:sz w:val="21"/>
          <w:szCs w:val="21"/>
          <w:u w:val="none"/>
          <w:lang w:val="en-US" w:eastAsia="zh-CN" w:bidi="ar"/>
        </w:rPr>
      </w:pPr>
    </w:p>
    <w:p>
      <w:pPr>
        <w:pStyle w:val="5"/>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强制采购</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根据财政部和国家发展改革委员会（财库〔2019〕19号）《节能产品政府采购品目清单》的规定，采购人采购需求范围内的产品有属于《节能产品政府采购品目清单》中政府强制采购产品的，投标人必须提供具有节能产品认证证书的符合要求的产品，否则，其投标作为无效投标处理。（国家确定的认证机构出具的、处于有效期内的该节能产品认证证书复印件，盖投标人公章。）</w:t>
      </w:r>
    </w:p>
    <w:p>
      <w:pPr>
        <w:pStyle w:val="2"/>
        <w:ind w:firstLine="210"/>
        <w:rPr>
          <w:rFonts w:asciiTheme="minorEastAsia" w:hAnsiTheme="minorEastAsia" w:eastAsiaTheme="minorEastAsia"/>
          <w:color w:val="auto"/>
        </w:rPr>
      </w:pPr>
    </w:p>
    <w:p>
      <w:pPr>
        <w:ind w:firstLine="422"/>
        <w:rPr>
          <w:rFonts w:asciiTheme="minorEastAsia" w:hAnsiTheme="minorEastAsia" w:eastAsiaTheme="minorEastAsia"/>
          <w:color w:val="auto"/>
        </w:rPr>
      </w:pPr>
      <w:r>
        <w:rPr>
          <w:rFonts w:hint="eastAsia" w:asciiTheme="minorEastAsia" w:hAnsiTheme="minorEastAsia" w:eastAsiaTheme="minorEastAsia"/>
          <w:b/>
          <w:color w:val="auto"/>
          <w:szCs w:val="21"/>
        </w:rPr>
        <w:t>特别说明：需求中不允许偏离的实质性要求和条件，以“★”号标明，如投标人未响应的，将被视为无效投标。</w:t>
      </w:r>
      <w:r>
        <w:rPr>
          <w:rFonts w:hint="eastAsia" w:cs="宋体" w:asciiTheme="minorEastAsia" w:hAnsiTheme="minorEastAsia" w:eastAsiaTheme="minorEastAsia"/>
          <w:b/>
          <w:bCs/>
          <w:color w:val="auto"/>
          <w:szCs w:val="21"/>
          <w:lang w:eastAsia="zh-CN"/>
        </w:rPr>
        <w:t>“</w:t>
      </w:r>
      <w:r>
        <w:rPr>
          <w:rFonts w:hint="eastAsia" w:cs="宋体" w:asciiTheme="minorEastAsia" w:hAnsiTheme="minorEastAsia" w:eastAsiaTheme="minorEastAsia"/>
          <w:b/>
          <w:bCs/>
          <w:color w:val="auto"/>
          <w:szCs w:val="21"/>
        </w:rPr>
        <w:t>▲</w:t>
      </w:r>
      <w:r>
        <w:rPr>
          <w:rFonts w:hint="eastAsia" w:cs="宋体" w:asciiTheme="minorEastAsia" w:hAnsiTheme="minorEastAsia" w:eastAsiaTheme="minorEastAsia"/>
          <w:b/>
          <w:bCs/>
          <w:color w:val="auto"/>
          <w:szCs w:val="21"/>
          <w:lang w:eastAsia="zh-CN"/>
        </w:rPr>
        <w:t>”为重要条款</w:t>
      </w:r>
      <w:r>
        <w:rPr>
          <w:rFonts w:hint="eastAsia" w:cs="宋体" w:asciiTheme="minorEastAsia" w:hAnsiTheme="minorEastAsia" w:eastAsiaTheme="minorEastAsia"/>
          <w:b/>
          <w:bCs/>
          <w:color w:val="auto"/>
          <w:szCs w:val="21"/>
        </w:rPr>
        <w:t>。</w:t>
      </w:r>
    </w:p>
    <w:p>
      <w:pP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br w:type="page"/>
      </w:r>
    </w:p>
    <w:bookmarkEnd w:id="88"/>
    <w:bookmarkEnd w:id="89"/>
    <w:p>
      <w:pPr>
        <w:pStyle w:val="4"/>
        <w:ind w:firstLine="0" w:firstLineChars="0"/>
        <w:rPr>
          <w:rFonts w:asciiTheme="minorEastAsia" w:hAnsiTheme="minorEastAsia" w:eastAsiaTheme="minorEastAsia"/>
          <w:color w:val="auto"/>
          <w:sz w:val="32"/>
          <w:szCs w:val="32"/>
        </w:rPr>
      </w:pPr>
      <w:bookmarkStart w:id="93" w:name="_Toc450840086"/>
      <w:bookmarkStart w:id="94" w:name="_Toc9441"/>
      <w:r>
        <w:rPr>
          <w:rFonts w:hint="eastAsia" w:asciiTheme="minorEastAsia" w:hAnsiTheme="minorEastAsia" w:eastAsiaTheme="minorEastAsia"/>
          <w:color w:val="auto"/>
          <w:sz w:val="32"/>
          <w:szCs w:val="32"/>
        </w:rPr>
        <w:t>第三章 采购项目商务</w:t>
      </w:r>
      <w:bookmarkEnd w:id="93"/>
      <w:r>
        <w:rPr>
          <w:rFonts w:hint="eastAsia" w:asciiTheme="minorEastAsia" w:hAnsiTheme="minorEastAsia" w:eastAsiaTheme="minorEastAsia"/>
          <w:color w:val="auto"/>
          <w:sz w:val="32"/>
          <w:szCs w:val="32"/>
        </w:rPr>
        <w:t>要求</w:t>
      </w:r>
      <w:bookmarkEnd w:id="94"/>
    </w:p>
    <w:p>
      <w:pPr>
        <w:ind w:firstLine="420"/>
        <w:rPr>
          <w:rFonts w:asciiTheme="minorEastAsia" w:hAnsiTheme="minorEastAsia" w:eastAsiaTheme="minorEastAsia"/>
          <w:color w:val="auto"/>
        </w:rPr>
      </w:pPr>
    </w:p>
    <w:p>
      <w:pPr>
        <w:pStyle w:val="5"/>
        <w:rPr>
          <w:rFonts w:cs="宋体" w:asciiTheme="minorEastAsia" w:hAnsiTheme="minorEastAsia" w:eastAsiaTheme="minorEastAsia"/>
          <w:color w:val="auto"/>
        </w:rPr>
      </w:pPr>
      <w:bookmarkStart w:id="95" w:name="_Toc23714"/>
      <w:r>
        <w:rPr>
          <w:rFonts w:hint="eastAsia" w:cs="宋体" w:asciiTheme="minorEastAsia" w:hAnsiTheme="minorEastAsia" w:eastAsiaTheme="minorEastAsia"/>
          <w:color w:val="auto"/>
        </w:rPr>
        <w:t>1交货期</w:t>
      </w:r>
      <w:bookmarkEnd w:id="95"/>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合同签订之日起</w:t>
      </w:r>
      <w:r>
        <w:rPr>
          <w:rFonts w:hint="eastAsia" w:cs="宋体" w:asciiTheme="minorEastAsia" w:hAnsiTheme="minorEastAsia" w:eastAsiaTheme="minorEastAsia"/>
          <w:color w:val="auto"/>
          <w:lang w:eastAsia="zh-CN"/>
        </w:rPr>
        <w:t>国产产品</w:t>
      </w:r>
      <w:r>
        <w:rPr>
          <w:rFonts w:hint="eastAsia" w:cs="宋体" w:asciiTheme="minorEastAsia" w:hAnsiTheme="minorEastAsia" w:eastAsiaTheme="minorEastAsia"/>
          <w:color w:val="auto"/>
        </w:rPr>
        <w:t>要求</w:t>
      </w:r>
      <w:r>
        <w:rPr>
          <w:rFonts w:hint="eastAsia" w:cs="宋体" w:asciiTheme="minorEastAsia" w:hAnsiTheme="minorEastAsia" w:eastAsiaTheme="minorEastAsia"/>
          <w:color w:val="auto"/>
          <w:lang w:val="en-US" w:eastAsia="zh-CN"/>
        </w:rPr>
        <w:t>30</w:t>
      </w:r>
      <w:r>
        <w:rPr>
          <w:rFonts w:hint="eastAsia" w:cs="宋体" w:asciiTheme="minorEastAsia" w:hAnsiTheme="minorEastAsia" w:eastAsiaTheme="minorEastAsia"/>
          <w:color w:val="auto"/>
        </w:rPr>
        <w:t>日内交货</w:t>
      </w:r>
      <w:r>
        <w:rPr>
          <w:rFonts w:hint="eastAsia" w:cs="宋体" w:asciiTheme="minorEastAsia" w:hAnsiTheme="minorEastAsia" w:eastAsiaTheme="minorEastAsia"/>
          <w:color w:val="auto"/>
          <w:lang w:eastAsia="zh-CN"/>
        </w:rPr>
        <w:t>；进口产品要求</w:t>
      </w:r>
      <w:r>
        <w:rPr>
          <w:rFonts w:hint="eastAsia" w:cs="宋体" w:asciiTheme="minorEastAsia" w:hAnsiTheme="minorEastAsia" w:eastAsiaTheme="minorEastAsia"/>
          <w:color w:val="auto"/>
          <w:lang w:val="en-US" w:eastAsia="zh-CN"/>
        </w:rPr>
        <w:t>90日内交货</w:t>
      </w:r>
      <w:r>
        <w:rPr>
          <w:rFonts w:hint="eastAsia" w:cs="宋体" w:asciiTheme="minorEastAsia" w:hAnsiTheme="minorEastAsia" w:eastAsiaTheme="minorEastAsia"/>
          <w:color w:val="auto"/>
        </w:rPr>
        <w:t>。</w:t>
      </w:r>
    </w:p>
    <w:p>
      <w:pPr>
        <w:pStyle w:val="5"/>
        <w:rPr>
          <w:rFonts w:cs="宋体" w:asciiTheme="minorEastAsia" w:hAnsiTheme="minorEastAsia" w:eastAsiaTheme="minorEastAsia"/>
          <w:color w:val="auto"/>
        </w:rPr>
      </w:pPr>
      <w:bookmarkStart w:id="96" w:name="_Toc28144"/>
      <w:r>
        <w:rPr>
          <w:rFonts w:hint="eastAsia" w:cs="宋体" w:asciiTheme="minorEastAsia" w:hAnsiTheme="minorEastAsia" w:eastAsiaTheme="minorEastAsia"/>
          <w:color w:val="auto"/>
        </w:rPr>
        <w:t>2交货地址</w:t>
      </w:r>
      <w:bookmarkEnd w:id="96"/>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采购人指定地址。</w:t>
      </w:r>
    </w:p>
    <w:p>
      <w:pPr>
        <w:pStyle w:val="5"/>
        <w:rPr>
          <w:rFonts w:cs="宋体" w:asciiTheme="minorEastAsia" w:hAnsiTheme="minorEastAsia" w:eastAsiaTheme="minorEastAsia"/>
          <w:color w:val="auto"/>
        </w:rPr>
      </w:pPr>
      <w:bookmarkStart w:id="97" w:name="_Toc24581"/>
      <w:r>
        <w:rPr>
          <w:rFonts w:hint="eastAsia" w:cs="宋体" w:asciiTheme="minorEastAsia" w:hAnsiTheme="minorEastAsia" w:eastAsiaTheme="minorEastAsia"/>
          <w:color w:val="auto"/>
        </w:rPr>
        <w:t>3保存和运输要求</w:t>
      </w:r>
      <w:bookmarkEnd w:id="97"/>
    </w:p>
    <w:p>
      <w:pPr>
        <w:ind w:firstLine="420"/>
        <w:rPr>
          <w:rFonts w:hint="eastAsia" w:asciiTheme="minorEastAsia" w:hAnsiTheme="minorEastAsia" w:eastAsiaTheme="minorEastAsia"/>
          <w:color w:val="auto"/>
          <w:lang w:eastAsia="zh-CN"/>
        </w:rPr>
      </w:pPr>
      <w:r>
        <w:rPr>
          <w:rFonts w:hint="eastAsia"/>
          <w:color w:val="auto"/>
        </w:rPr>
        <w:t>送货至指定地点。</w:t>
      </w:r>
    </w:p>
    <w:p>
      <w:pPr>
        <w:pStyle w:val="5"/>
        <w:rPr>
          <w:rFonts w:cs="宋体" w:asciiTheme="minorEastAsia" w:hAnsiTheme="minorEastAsia" w:eastAsiaTheme="minorEastAsia"/>
          <w:color w:val="auto"/>
        </w:rPr>
      </w:pPr>
      <w:bookmarkStart w:id="98" w:name="_Toc26807"/>
      <w:r>
        <w:rPr>
          <w:rFonts w:hint="eastAsia" w:cs="宋体" w:asciiTheme="minorEastAsia" w:hAnsiTheme="minorEastAsia" w:eastAsiaTheme="minorEastAsia"/>
          <w:color w:val="auto"/>
        </w:rPr>
        <w:t>4安装和调试</w:t>
      </w:r>
      <w:bookmarkEnd w:id="98"/>
    </w:p>
    <w:p>
      <w:pPr>
        <w:ind w:firstLine="420"/>
        <w:rPr>
          <w:color w:val="auto"/>
        </w:rPr>
      </w:pPr>
      <w:r>
        <w:rPr>
          <w:rFonts w:hint="eastAsia"/>
          <w:color w:val="auto"/>
          <w:lang w:eastAsia="zh-CN"/>
        </w:rPr>
        <w:t>中标人</w:t>
      </w:r>
      <w:r>
        <w:rPr>
          <w:rFonts w:hint="eastAsia"/>
          <w:color w:val="auto"/>
        </w:rPr>
        <w:t>负责安装调试。</w:t>
      </w:r>
    </w:p>
    <w:p>
      <w:pPr>
        <w:pStyle w:val="5"/>
        <w:rPr>
          <w:rFonts w:cs="宋体" w:asciiTheme="minorEastAsia" w:hAnsiTheme="minorEastAsia" w:eastAsiaTheme="minorEastAsia"/>
          <w:color w:val="auto"/>
        </w:rPr>
      </w:pPr>
      <w:bookmarkStart w:id="99" w:name="_Toc32508"/>
      <w:r>
        <w:rPr>
          <w:rFonts w:hint="eastAsia" w:cs="宋体" w:asciiTheme="minorEastAsia" w:hAnsiTheme="minorEastAsia" w:eastAsiaTheme="minorEastAsia"/>
          <w:color w:val="auto"/>
        </w:rPr>
        <w:t>5验收标准</w:t>
      </w:r>
      <w:bookmarkEnd w:id="99"/>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中标人须按国家有关规定及标准完成本次招标货物的供货、运输、检验等。如中标，中标人对中标产品使用的质量、安全性能与检测结果的可靠性负全部责任。按</w:t>
      </w:r>
      <w:r>
        <w:rPr>
          <w:rFonts w:hint="eastAsia" w:cs="宋体" w:asciiTheme="minorEastAsia" w:hAnsiTheme="minorEastAsia" w:eastAsiaTheme="minorEastAsia"/>
          <w:color w:val="auto"/>
          <w:lang w:eastAsia="zh-CN"/>
        </w:rPr>
        <w:t>浙江康复医院</w:t>
      </w:r>
      <w:r>
        <w:rPr>
          <w:rFonts w:hint="eastAsia" w:cs="宋体" w:asciiTheme="minorEastAsia" w:hAnsiTheme="minorEastAsia" w:eastAsiaTheme="minorEastAsia"/>
          <w:color w:val="auto"/>
        </w:rPr>
        <w:t>标准验收和确认。</w:t>
      </w:r>
    </w:p>
    <w:p>
      <w:pPr>
        <w:pStyle w:val="5"/>
        <w:rPr>
          <w:rFonts w:cs="宋体" w:asciiTheme="minorEastAsia" w:hAnsiTheme="minorEastAsia" w:eastAsiaTheme="minorEastAsia"/>
          <w:color w:val="auto"/>
        </w:rPr>
      </w:pPr>
      <w:bookmarkStart w:id="100" w:name="_Toc908"/>
      <w:r>
        <w:rPr>
          <w:rFonts w:hint="eastAsia" w:cs="宋体" w:asciiTheme="minorEastAsia" w:hAnsiTheme="minorEastAsia" w:eastAsiaTheme="minorEastAsia"/>
          <w:color w:val="auto"/>
        </w:rPr>
        <w:t>6质保期</w:t>
      </w:r>
      <w:bookmarkEnd w:id="100"/>
    </w:p>
    <w:p>
      <w:pPr>
        <w:ind w:firstLine="42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详见</w:t>
      </w:r>
      <w:r>
        <w:rPr>
          <w:rFonts w:hint="eastAsia" w:ascii="宋体" w:hAnsi="宋体" w:eastAsia="宋体" w:cs="宋体"/>
          <w:b w:val="0"/>
          <w:bCs w:val="0"/>
          <w:color w:val="auto"/>
          <w:sz w:val="21"/>
          <w:szCs w:val="21"/>
        </w:rPr>
        <w:t>技术参数要求。</w:t>
      </w:r>
    </w:p>
    <w:p>
      <w:pPr>
        <w:pStyle w:val="5"/>
        <w:rPr>
          <w:rFonts w:cs="宋体" w:asciiTheme="minorEastAsia" w:hAnsiTheme="minorEastAsia" w:eastAsiaTheme="minorEastAsia"/>
          <w:color w:val="auto"/>
        </w:rPr>
      </w:pPr>
      <w:bookmarkStart w:id="101" w:name="_Toc22130"/>
      <w:r>
        <w:rPr>
          <w:rFonts w:hint="eastAsia" w:cs="宋体" w:asciiTheme="minorEastAsia" w:hAnsiTheme="minorEastAsia" w:eastAsiaTheme="minorEastAsia"/>
          <w:color w:val="auto"/>
        </w:rPr>
        <w:t>7履约保证金</w:t>
      </w:r>
      <w:bookmarkEnd w:id="101"/>
    </w:p>
    <w:p>
      <w:pPr>
        <w:pStyle w:val="5"/>
        <w:ind w:firstLine="420" w:firstLineChars="200"/>
        <w:rPr>
          <w:rFonts w:hint="eastAsia" w:ascii="宋体" w:hAnsi="宋体" w:eastAsia="宋体" w:cs="宋体"/>
          <w:b w:val="0"/>
          <w:bCs w:val="0"/>
          <w:color w:val="auto"/>
        </w:rPr>
      </w:pPr>
      <w:bookmarkStart w:id="102" w:name="_Toc22511"/>
      <w:r>
        <w:rPr>
          <w:rFonts w:hint="eastAsia" w:ascii="宋体" w:hAnsi="宋体" w:eastAsia="宋体" w:cs="宋体"/>
          <w:b w:val="0"/>
          <w:bCs w:val="0"/>
          <w:color w:val="auto"/>
        </w:rPr>
        <w:t>见供应商须知前附表</w:t>
      </w:r>
      <w:bookmarkEnd w:id="102"/>
    </w:p>
    <w:p>
      <w:pPr>
        <w:pStyle w:val="5"/>
        <w:rPr>
          <w:rFonts w:cs="宋体" w:asciiTheme="minorEastAsia" w:hAnsiTheme="minorEastAsia" w:eastAsiaTheme="minorEastAsia"/>
          <w:color w:val="auto"/>
        </w:rPr>
      </w:pPr>
      <w:bookmarkStart w:id="103" w:name="_Toc20766"/>
      <w:r>
        <w:rPr>
          <w:rFonts w:hint="eastAsia" w:cs="宋体" w:asciiTheme="minorEastAsia" w:hAnsiTheme="minorEastAsia" w:eastAsiaTheme="minorEastAsia"/>
          <w:color w:val="auto"/>
        </w:rPr>
        <w:t>8付款方式</w:t>
      </w:r>
      <w:bookmarkEnd w:id="103"/>
    </w:p>
    <w:p>
      <w:pPr>
        <w:ind w:firstLine="420"/>
        <w:rPr>
          <w:rFonts w:hint="eastAsia" w:ascii="宋体" w:hAnsi="宋体" w:eastAsia="宋体" w:cs="宋体"/>
          <w:color w:val="auto"/>
          <w:sz w:val="21"/>
          <w:szCs w:val="21"/>
        </w:rPr>
      </w:pPr>
      <w:r>
        <w:rPr>
          <w:rFonts w:hint="eastAsia" w:ascii="宋体" w:hAnsi="宋体" w:eastAsia="宋体" w:cs="宋体"/>
          <w:color w:val="auto"/>
          <w:sz w:val="21"/>
          <w:szCs w:val="21"/>
        </w:rPr>
        <w:t>合同签订后预付合同总价的</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发货后凭发货单</w:t>
      </w:r>
      <w:r>
        <w:rPr>
          <w:rFonts w:hint="eastAsia" w:ascii="宋体" w:hAnsi="宋体" w:eastAsia="宋体" w:cs="宋体"/>
          <w:color w:val="auto"/>
          <w:sz w:val="21"/>
          <w:szCs w:val="21"/>
        </w:rPr>
        <w:t>支付合同总价的</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％，货到验</w:t>
      </w:r>
      <w:r>
        <w:rPr>
          <w:rFonts w:hint="eastAsia" w:ascii="宋体" w:hAnsi="宋体" w:eastAsia="宋体" w:cs="宋体"/>
          <w:color w:val="auto"/>
          <w:sz w:val="21"/>
          <w:szCs w:val="21"/>
          <w:lang w:eastAsia="zh-CN"/>
        </w:rPr>
        <w:t>收</w:t>
      </w:r>
      <w:r>
        <w:rPr>
          <w:rFonts w:hint="eastAsia" w:ascii="宋体" w:hAnsi="宋体" w:eastAsia="宋体" w:cs="宋体"/>
          <w:color w:val="auto"/>
          <w:sz w:val="21"/>
          <w:szCs w:val="21"/>
        </w:rPr>
        <w:t>合格后支付至合同总价的</w:t>
      </w: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w:t>
      </w:r>
    </w:p>
    <w:p>
      <w:pPr>
        <w:pStyle w:val="5"/>
        <w:rPr>
          <w:rFonts w:cs="宋体" w:asciiTheme="minorEastAsia" w:hAnsiTheme="minorEastAsia" w:eastAsiaTheme="minorEastAsia"/>
          <w:color w:val="auto"/>
        </w:rPr>
      </w:pPr>
      <w:bookmarkStart w:id="104" w:name="_Toc26633"/>
      <w:r>
        <w:rPr>
          <w:rFonts w:hint="eastAsia" w:cs="宋体" w:asciiTheme="minorEastAsia" w:hAnsiTheme="minorEastAsia" w:eastAsiaTheme="minorEastAsia"/>
          <w:color w:val="auto"/>
        </w:rPr>
        <w:t>9售后服务</w:t>
      </w:r>
      <w:bookmarkEnd w:id="104"/>
    </w:p>
    <w:p>
      <w:pPr>
        <w:ind w:firstLine="42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详见</w:t>
      </w:r>
      <w:r>
        <w:rPr>
          <w:rFonts w:hint="eastAsia" w:ascii="宋体" w:hAnsi="宋体" w:eastAsia="宋体" w:cs="宋体"/>
          <w:b w:val="0"/>
          <w:bCs w:val="0"/>
          <w:color w:val="auto"/>
          <w:sz w:val="21"/>
          <w:szCs w:val="21"/>
        </w:rPr>
        <w:t>技术参数要求。</w:t>
      </w:r>
    </w:p>
    <w:p>
      <w:pPr>
        <w:pStyle w:val="5"/>
        <w:rPr>
          <w:rFonts w:cs="宋体" w:asciiTheme="minorEastAsia" w:hAnsiTheme="minorEastAsia" w:eastAsiaTheme="minorEastAsia"/>
          <w:color w:val="auto"/>
        </w:rPr>
      </w:pPr>
      <w:bookmarkStart w:id="105" w:name="_Toc27026"/>
      <w:r>
        <w:rPr>
          <w:rFonts w:hint="eastAsia" w:cs="宋体" w:asciiTheme="minorEastAsia" w:hAnsiTheme="minorEastAsia" w:eastAsiaTheme="minorEastAsia"/>
          <w:color w:val="auto"/>
        </w:rPr>
        <w:t>10合同履行</w:t>
      </w:r>
      <w:bookmarkEnd w:id="105"/>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lang w:eastAsia="zh-CN"/>
        </w:rPr>
        <w:t>按相关规定进行</w:t>
      </w:r>
      <w:r>
        <w:rPr>
          <w:rFonts w:hint="eastAsia" w:cs="宋体" w:asciiTheme="minorEastAsia" w:hAnsiTheme="minorEastAsia" w:eastAsiaTheme="minorEastAsia"/>
          <w:color w:val="auto"/>
        </w:rPr>
        <w:t>合同</w:t>
      </w:r>
      <w:r>
        <w:rPr>
          <w:rFonts w:hint="eastAsia" w:cs="宋体" w:asciiTheme="minorEastAsia" w:hAnsiTheme="minorEastAsia" w:eastAsiaTheme="minorEastAsia"/>
          <w:color w:val="auto"/>
          <w:lang w:eastAsia="zh-CN"/>
        </w:rPr>
        <w:t>履约</w:t>
      </w:r>
      <w:r>
        <w:rPr>
          <w:rFonts w:hint="eastAsia" w:cs="宋体" w:asciiTheme="minorEastAsia" w:hAnsiTheme="minorEastAsia" w:eastAsiaTheme="minorEastAsia"/>
          <w:color w:val="auto"/>
        </w:rPr>
        <w:t>。</w:t>
      </w:r>
    </w:p>
    <w:p>
      <w:pPr>
        <w:pStyle w:val="2"/>
        <w:ind w:firstLine="210"/>
        <w:rPr>
          <w:rFonts w:asciiTheme="minorEastAsia" w:hAnsiTheme="minorEastAsia" w:eastAsiaTheme="minorEastAsia"/>
          <w:color w:val="auto"/>
        </w:rPr>
      </w:pPr>
    </w:p>
    <w:p>
      <w:pPr>
        <w:ind w:firstLine="422"/>
        <w:rPr>
          <w:rFonts w:asciiTheme="minorEastAsia" w:hAnsiTheme="minorEastAsia" w:eastAsiaTheme="minorEastAsia"/>
          <w:color w:val="auto"/>
        </w:rPr>
      </w:pPr>
      <w:r>
        <w:rPr>
          <w:rFonts w:hint="eastAsia" w:asciiTheme="minorEastAsia" w:hAnsiTheme="minorEastAsia" w:eastAsiaTheme="minorEastAsia"/>
          <w:b/>
          <w:color w:val="auto"/>
          <w:szCs w:val="21"/>
        </w:rPr>
        <w:t>特别说明：需求中不允许偏离的实质性要求和条件，以“★”号标明，如投标人未响应的，将被视为无效投标。</w:t>
      </w: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06" w:name="_Toc26892"/>
      <w:r>
        <w:rPr>
          <w:rFonts w:hint="eastAsia" w:asciiTheme="minorEastAsia" w:hAnsiTheme="minorEastAsia" w:eastAsiaTheme="minorEastAsia"/>
          <w:color w:val="auto"/>
          <w:sz w:val="32"/>
          <w:szCs w:val="32"/>
        </w:rPr>
        <w:t>第四章 合同格式</w:t>
      </w:r>
      <w:bookmarkEnd w:id="106"/>
    </w:p>
    <w:p>
      <w:pPr>
        <w:ind w:firstLine="420"/>
        <w:rPr>
          <w:color w:val="auto"/>
        </w:rPr>
      </w:pPr>
      <w:r>
        <w:rPr>
          <w:rFonts w:hint="eastAsia"/>
          <w:color w:val="auto"/>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w:t>
      </w:r>
      <w:r>
        <w:rPr>
          <w:color w:val="auto"/>
        </w:rPr>
        <w:t xml:space="preserve"> </w:t>
      </w:r>
      <w:r>
        <w:rPr>
          <w:rFonts w:hint="eastAsia"/>
          <w:color w:val="auto"/>
        </w:rPr>
        <w:t>中标人的投标文件正本；投标人在评标答疑时的书面澄清或说明；中标通知书等文件是构成合同不可分割的部分。</w:t>
      </w:r>
    </w:p>
    <w:p>
      <w:pPr>
        <w:ind w:firstLine="420"/>
        <w:rPr>
          <w:rFonts w:cs="宋体" w:asciiTheme="minorEastAsia" w:hAnsiTheme="minorEastAsia" w:eastAsiaTheme="minorEastAsia"/>
          <w:color w:val="auto"/>
          <w:szCs w:val="21"/>
        </w:rPr>
      </w:pPr>
    </w:p>
    <w:p>
      <w:pPr>
        <w:pStyle w:val="5"/>
        <w:rPr>
          <w:color w:val="auto"/>
        </w:rPr>
      </w:pPr>
      <w:bookmarkStart w:id="107" w:name="_Toc6543"/>
      <w:bookmarkStart w:id="108" w:name="_Toc1295"/>
      <w:r>
        <w:rPr>
          <w:rFonts w:hint="eastAsia"/>
          <w:color w:val="auto"/>
        </w:rPr>
        <w:t>浙江省政府采购合同指引</w:t>
      </w:r>
      <w:bookmarkEnd w:id="107"/>
      <w:bookmarkEnd w:id="108"/>
    </w:p>
    <w:p>
      <w:pPr>
        <w:ind w:firstLine="420"/>
        <w:rPr>
          <w:rFonts w:hint="eastAsia"/>
          <w:color w:val="auto"/>
        </w:rPr>
      </w:pPr>
      <w:r>
        <w:rPr>
          <w:rFonts w:hint="eastAsia"/>
          <w:color w:val="auto"/>
        </w:rPr>
        <w:t xml:space="preserve">项目名称                               项目编号 </w:t>
      </w:r>
    </w:p>
    <w:p>
      <w:pPr>
        <w:ind w:firstLine="420"/>
        <w:rPr>
          <w:rFonts w:hint="eastAsia"/>
          <w:color w:val="auto"/>
        </w:rPr>
      </w:pPr>
      <w:r>
        <w:rPr>
          <w:rFonts w:hint="eastAsia"/>
          <w:color w:val="auto"/>
        </w:rPr>
        <w:t>甲方（买方）</w:t>
      </w:r>
      <w:r>
        <w:rPr>
          <w:color w:val="auto"/>
        </w:rPr>
        <w:t>：</w:t>
      </w:r>
      <w:r>
        <w:rPr>
          <w:rFonts w:hint="eastAsia"/>
          <w:color w:val="auto"/>
        </w:rPr>
        <w:t xml:space="preserve"> </w:t>
      </w:r>
    </w:p>
    <w:p>
      <w:pPr>
        <w:ind w:firstLine="420"/>
        <w:rPr>
          <w:rFonts w:hint="eastAsia"/>
          <w:color w:val="auto"/>
        </w:rPr>
      </w:pPr>
      <w:r>
        <w:rPr>
          <w:rFonts w:hint="eastAsia"/>
          <w:color w:val="auto"/>
        </w:rPr>
        <w:t>乙方（卖方）</w:t>
      </w:r>
      <w:r>
        <w:rPr>
          <w:color w:val="auto"/>
        </w:rPr>
        <w:t>：</w:t>
      </w:r>
      <w:r>
        <w:rPr>
          <w:rFonts w:hint="eastAsia"/>
          <w:color w:val="auto"/>
        </w:rPr>
        <w:t xml:space="preserve"> </w:t>
      </w:r>
    </w:p>
    <w:p>
      <w:pPr>
        <w:ind w:firstLine="514" w:firstLineChars="245"/>
        <w:rPr>
          <w:rFonts w:hint="eastAsia"/>
          <w:color w:val="auto"/>
        </w:rPr>
      </w:pPr>
      <w:r>
        <w:rPr>
          <w:color w:val="auto"/>
        </w:rPr>
        <w:t xml:space="preserve">甲、乙双方根据 </w:t>
      </w:r>
      <w:r>
        <w:rPr>
          <w:color w:val="auto"/>
          <w:u w:val="single"/>
        </w:rPr>
        <w:t xml:space="preserve">   </w:t>
      </w:r>
      <w:r>
        <w:rPr>
          <w:rFonts w:hint="eastAsia"/>
          <w:color w:val="auto"/>
          <w:u w:val="single"/>
        </w:rPr>
        <w:t xml:space="preserve">               </w:t>
      </w:r>
      <w:r>
        <w:rPr>
          <w:rFonts w:hint="eastAsia"/>
          <w:color w:val="auto"/>
        </w:rPr>
        <w:t>项目公开招标</w:t>
      </w:r>
      <w:r>
        <w:rPr>
          <w:color w:val="auto"/>
        </w:rPr>
        <w:t>的结果，签署本合同。</w:t>
      </w:r>
    </w:p>
    <w:p>
      <w:pPr>
        <w:pStyle w:val="6"/>
        <w:rPr>
          <w:rFonts w:hint="eastAsia" w:ascii="宋体" w:hAnsi="宋体" w:eastAsia="宋体"/>
          <w:color w:val="auto"/>
        </w:rPr>
      </w:pPr>
      <w:r>
        <w:rPr>
          <w:rFonts w:hint="eastAsia" w:ascii="宋体" w:hAnsi="宋体" w:eastAsia="宋体"/>
          <w:color w:val="auto"/>
        </w:rPr>
        <w:t xml:space="preserve">一、货物内容 </w:t>
      </w:r>
    </w:p>
    <w:p>
      <w:pPr>
        <w:ind w:firstLine="420"/>
        <w:rPr>
          <w:rFonts w:hint="eastAsia"/>
          <w:color w:val="auto"/>
        </w:rPr>
      </w:pPr>
      <w:r>
        <w:rPr>
          <w:rFonts w:hint="eastAsia"/>
          <w:color w:val="auto"/>
        </w:rPr>
        <w:t xml:space="preserve">1.1 货物名称： </w:t>
      </w:r>
    </w:p>
    <w:p>
      <w:pPr>
        <w:ind w:firstLine="420"/>
        <w:rPr>
          <w:rFonts w:hint="eastAsia"/>
          <w:color w:val="auto"/>
        </w:rPr>
      </w:pPr>
      <w:r>
        <w:rPr>
          <w:rFonts w:hint="eastAsia"/>
          <w:color w:val="auto"/>
        </w:rPr>
        <w:t xml:space="preserve">1.2 型号规格： </w:t>
      </w:r>
    </w:p>
    <w:p>
      <w:pPr>
        <w:ind w:firstLine="420"/>
        <w:rPr>
          <w:rFonts w:hint="eastAsia"/>
          <w:color w:val="auto"/>
        </w:rPr>
      </w:pPr>
      <w:r>
        <w:rPr>
          <w:rFonts w:hint="eastAsia"/>
          <w:color w:val="auto"/>
        </w:rPr>
        <w:t xml:space="preserve">1.3 技术参数： </w:t>
      </w:r>
    </w:p>
    <w:p>
      <w:pPr>
        <w:ind w:firstLine="420"/>
        <w:rPr>
          <w:rFonts w:hint="eastAsia"/>
          <w:color w:val="auto"/>
        </w:rPr>
      </w:pPr>
      <w:r>
        <w:rPr>
          <w:rFonts w:hint="eastAsia"/>
          <w:color w:val="auto"/>
        </w:rPr>
        <w:t xml:space="preserve">1.4 数量、单位： </w:t>
      </w:r>
    </w:p>
    <w:p>
      <w:pPr>
        <w:pStyle w:val="6"/>
        <w:rPr>
          <w:rFonts w:hint="eastAsia" w:ascii="宋体" w:hAnsi="宋体" w:eastAsia="宋体"/>
          <w:color w:val="auto"/>
        </w:rPr>
      </w:pPr>
      <w:r>
        <w:rPr>
          <w:rFonts w:hint="eastAsia" w:ascii="宋体" w:hAnsi="宋体" w:eastAsia="宋体"/>
          <w:color w:val="auto"/>
        </w:rPr>
        <w:t xml:space="preserve">二、合同金额 </w:t>
      </w:r>
    </w:p>
    <w:p>
      <w:pPr>
        <w:ind w:firstLine="420"/>
        <w:rPr>
          <w:rFonts w:hint="eastAsia"/>
          <w:color w:val="auto"/>
        </w:rPr>
      </w:pPr>
      <w:r>
        <w:rPr>
          <w:rFonts w:hint="eastAsia"/>
          <w:color w:val="auto"/>
        </w:rPr>
        <w:t>2.1</w:t>
      </w:r>
      <w:r>
        <w:rPr>
          <w:color w:val="auto"/>
        </w:rPr>
        <w:t>本合同金额为（大写）：____________________________________元（￥_______________元）人民币。</w:t>
      </w:r>
      <w:r>
        <w:rPr>
          <w:rFonts w:hint="eastAsia"/>
          <w:color w:val="auto"/>
        </w:rPr>
        <w:t xml:space="preserve"> </w:t>
      </w:r>
    </w:p>
    <w:p>
      <w:pPr>
        <w:pStyle w:val="6"/>
        <w:rPr>
          <w:rFonts w:hint="eastAsia" w:ascii="宋体" w:hAnsi="宋体" w:eastAsia="宋体"/>
          <w:color w:val="auto"/>
        </w:rPr>
      </w:pPr>
      <w:r>
        <w:rPr>
          <w:rFonts w:hint="eastAsia" w:ascii="宋体" w:hAnsi="宋体" w:eastAsia="宋体"/>
          <w:color w:val="auto"/>
        </w:rPr>
        <w:t xml:space="preserve">三、技术资料 </w:t>
      </w:r>
    </w:p>
    <w:p>
      <w:pPr>
        <w:ind w:firstLine="420"/>
        <w:rPr>
          <w:rFonts w:hint="eastAsia"/>
          <w:color w:val="auto"/>
        </w:rPr>
      </w:pPr>
      <w:r>
        <w:rPr>
          <w:rFonts w:hint="eastAsia"/>
          <w:color w:val="auto"/>
        </w:rPr>
        <w:t xml:space="preserve">3.1乙方应按采购文件规定的时间向甲方提供使用货物的有关技术资料。 </w:t>
      </w:r>
    </w:p>
    <w:p>
      <w:pPr>
        <w:ind w:firstLine="420"/>
        <w:rPr>
          <w:rFonts w:hint="eastAsia"/>
          <w:color w:val="auto"/>
        </w:rPr>
      </w:pPr>
      <w:r>
        <w:rPr>
          <w:rFonts w:hint="eastAsia"/>
          <w:color w:val="auto"/>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
        <w:rPr>
          <w:rFonts w:hint="eastAsia" w:ascii="宋体" w:hAnsi="宋体" w:eastAsia="宋体"/>
          <w:color w:val="auto"/>
        </w:rPr>
      </w:pPr>
      <w:r>
        <w:rPr>
          <w:rFonts w:hint="eastAsia" w:ascii="宋体" w:hAnsi="宋体" w:eastAsia="宋体"/>
          <w:color w:val="auto"/>
        </w:rPr>
        <w:t>四、知识产权</w:t>
      </w:r>
    </w:p>
    <w:p>
      <w:pPr>
        <w:ind w:firstLine="420"/>
        <w:rPr>
          <w:color w:val="auto"/>
        </w:rPr>
      </w:pPr>
      <w:r>
        <w:rPr>
          <w:rFonts w:hint="eastAsia"/>
          <w:color w:val="auto"/>
        </w:rPr>
        <w:t>4.1 乙方应保证所提供的货物或其任何一部分均不会侵犯任何第三方的知识产权。</w:t>
      </w:r>
    </w:p>
    <w:p>
      <w:pPr>
        <w:pStyle w:val="6"/>
        <w:rPr>
          <w:rFonts w:hint="eastAsia" w:ascii="宋体" w:hAnsi="宋体" w:eastAsia="宋体"/>
          <w:color w:val="auto"/>
        </w:rPr>
      </w:pPr>
      <w:r>
        <w:rPr>
          <w:rFonts w:hint="eastAsia" w:ascii="宋体" w:hAnsi="宋体" w:eastAsia="宋体"/>
          <w:color w:val="auto"/>
        </w:rPr>
        <w:t xml:space="preserve">五、产权担保 </w:t>
      </w:r>
    </w:p>
    <w:p>
      <w:pPr>
        <w:ind w:firstLine="420"/>
        <w:rPr>
          <w:rFonts w:hint="eastAsia"/>
          <w:color w:val="auto"/>
        </w:rPr>
      </w:pPr>
      <w:r>
        <w:rPr>
          <w:rFonts w:hint="eastAsia"/>
          <w:color w:val="auto"/>
        </w:rPr>
        <w:t xml:space="preserve">5.1 乙方保证所交付的货物的所有权完全属于乙方且无任何抵押、查封等产权瑕疵。 </w:t>
      </w:r>
    </w:p>
    <w:p>
      <w:pPr>
        <w:keepNext/>
        <w:keepLines/>
        <w:ind w:firstLine="0" w:firstLineChars="0"/>
        <w:outlineLvl w:val="2"/>
        <w:rPr>
          <w:b/>
          <w:bCs/>
          <w:color w:val="auto"/>
          <w:szCs w:val="32"/>
        </w:rPr>
      </w:pPr>
      <w:r>
        <w:rPr>
          <w:rFonts w:hint="eastAsia"/>
          <w:b/>
          <w:bCs/>
          <w:color w:val="auto"/>
          <w:szCs w:val="32"/>
        </w:rPr>
        <w:t>六、履约保证金</w:t>
      </w:r>
    </w:p>
    <w:p>
      <w:pPr>
        <w:ind w:firstLine="420"/>
        <w:rPr>
          <w:color w:val="auto"/>
        </w:rPr>
      </w:pPr>
      <w:r>
        <w:rPr>
          <w:rFonts w:hint="eastAsia"/>
          <w:color w:val="auto"/>
        </w:rPr>
        <w:t>6.1乙方在合同签订之日起</w:t>
      </w:r>
      <w:r>
        <w:rPr>
          <w:color w:val="auto"/>
        </w:rPr>
        <w:t>5</w:t>
      </w:r>
      <w:r>
        <w:rPr>
          <w:rFonts w:hint="eastAsia"/>
          <w:color w:val="auto"/>
        </w:rPr>
        <w:t>天内向甲方指定</w:t>
      </w:r>
      <w:r>
        <w:rPr>
          <w:color w:val="auto"/>
        </w:rPr>
        <w:t>的账户</w:t>
      </w:r>
      <w:r>
        <w:rPr>
          <w:rFonts w:hint="eastAsia"/>
          <w:color w:val="auto"/>
        </w:rPr>
        <w:t>缴纳合同总价</w:t>
      </w:r>
      <w:r>
        <w:rPr>
          <w:color w:val="auto"/>
        </w:rPr>
        <w:t>5%</w:t>
      </w:r>
      <w:r>
        <w:rPr>
          <w:rFonts w:hint="eastAsia"/>
          <w:color w:val="auto"/>
        </w:rPr>
        <w:t>的履约保证金。</w:t>
      </w:r>
      <w:r>
        <w:rPr>
          <w:rFonts w:hint="eastAsia" w:hAnsi="宋体"/>
          <w:color w:val="auto"/>
        </w:rPr>
        <w:t>履约保证金的</w:t>
      </w:r>
      <w:r>
        <w:rPr>
          <w:rFonts w:hint="eastAsia"/>
          <w:color w:val="auto"/>
        </w:rPr>
        <w:t>交付方式：网银、支票、汇票、本票或者金融机构、担保机构出具的保函等非现金方式。</w:t>
      </w:r>
    </w:p>
    <w:p>
      <w:pPr>
        <w:ind w:firstLine="420"/>
        <w:rPr>
          <w:color w:val="auto"/>
        </w:rPr>
      </w:pPr>
      <w:r>
        <w:rPr>
          <w:rFonts w:hint="eastAsia"/>
          <w:color w:val="auto"/>
        </w:rPr>
        <w:t>6.2</w:t>
      </w:r>
      <w:r>
        <w:rPr>
          <w:rFonts w:hint="eastAsia" w:hAnsi="宋体"/>
          <w:color w:val="auto"/>
        </w:rPr>
        <w:t>履约保证金在货物质量保证期届满，确认投标人无违约行为后一周内无息返还。</w:t>
      </w:r>
    </w:p>
    <w:p>
      <w:pPr>
        <w:pStyle w:val="6"/>
        <w:rPr>
          <w:rFonts w:hint="eastAsia" w:ascii="宋体" w:hAnsi="宋体" w:eastAsia="宋体"/>
          <w:color w:val="auto"/>
        </w:rPr>
      </w:pPr>
      <w:r>
        <w:rPr>
          <w:rFonts w:hint="eastAsia" w:ascii="宋体" w:hAnsi="宋体" w:eastAsia="宋体"/>
          <w:color w:val="auto"/>
        </w:rPr>
        <w:t>七.、转包或</w:t>
      </w:r>
      <w:r>
        <w:rPr>
          <w:rStyle w:val="30"/>
          <w:rFonts w:hint="eastAsia" w:ascii="宋体" w:hAnsi="宋体" w:eastAsia="宋体"/>
          <w:b/>
          <w:bCs/>
          <w:color w:val="auto"/>
        </w:rPr>
        <w:t>分</w:t>
      </w:r>
      <w:r>
        <w:rPr>
          <w:rFonts w:hint="eastAsia" w:ascii="宋体" w:hAnsi="宋体" w:eastAsia="宋体"/>
          <w:color w:val="auto"/>
        </w:rPr>
        <w:t xml:space="preserve">包 </w:t>
      </w:r>
    </w:p>
    <w:p>
      <w:pPr>
        <w:ind w:firstLine="420"/>
        <w:rPr>
          <w:rFonts w:hint="eastAsia"/>
          <w:color w:val="auto"/>
        </w:rPr>
      </w:pPr>
      <w:r>
        <w:rPr>
          <w:rFonts w:hint="eastAsia"/>
          <w:color w:val="auto"/>
        </w:rPr>
        <w:t>7.1本合同范围的货物应由供方直接供应不得转让他人供应。</w:t>
      </w:r>
    </w:p>
    <w:p>
      <w:pPr>
        <w:ind w:firstLine="420"/>
        <w:rPr>
          <w:color w:val="auto"/>
        </w:rPr>
      </w:pPr>
      <w:r>
        <w:rPr>
          <w:rFonts w:hint="eastAsia"/>
          <w:color w:val="auto"/>
        </w:rPr>
        <w:t>7.2 除非得到需方的书面同意供方不得部分分包给他人供应。</w:t>
      </w:r>
    </w:p>
    <w:p>
      <w:pPr>
        <w:ind w:firstLine="420"/>
        <w:rPr>
          <w:rFonts w:hint="eastAsia"/>
          <w:color w:val="auto"/>
        </w:rPr>
      </w:pPr>
      <w:r>
        <w:rPr>
          <w:rFonts w:hint="eastAsia"/>
          <w:color w:val="auto"/>
        </w:rPr>
        <w:t xml:space="preserve">7.3如有转让和未经需方同意的分包行为需方有权给予终止合同。 </w:t>
      </w:r>
    </w:p>
    <w:p>
      <w:pPr>
        <w:pStyle w:val="6"/>
        <w:rPr>
          <w:rFonts w:hint="eastAsia" w:ascii="宋体" w:hAnsi="宋体" w:eastAsia="宋体"/>
          <w:color w:val="auto"/>
        </w:rPr>
      </w:pPr>
      <w:r>
        <w:rPr>
          <w:rFonts w:hint="eastAsia" w:ascii="宋体" w:hAnsi="宋体" w:eastAsia="宋体"/>
          <w:color w:val="auto"/>
        </w:rPr>
        <w:t xml:space="preserve">八、质保期 </w:t>
      </w:r>
    </w:p>
    <w:p>
      <w:pPr>
        <w:ind w:firstLine="420"/>
        <w:rPr>
          <w:rFonts w:hint="eastAsia"/>
          <w:color w:val="auto"/>
        </w:rPr>
      </w:pPr>
      <w:r>
        <w:rPr>
          <w:rFonts w:hint="eastAsia"/>
          <w:color w:val="auto"/>
        </w:rPr>
        <w:t>8.1 质保期：    年。自交货验收合格之日起计</w:t>
      </w:r>
    </w:p>
    <w:p>
      <w:pPr>
        <w:pStyle w:val="6"/>
        <w:rPr>
          <w:rFonts w:hint="eastAsia" w:ascii="宋体" w:hAnsi="宋体" w:eastAsia="宋体"/>
          <w:color w:val="auto"/>
        </w:rPr>
      </w:pPr>
      <w:r>
        <w:rPr>
          <w:rFonts w:hint="eastAsia" w:ascii="宋体" w:hAnsi="宋体" w:eastAsia="宋体"/>
          <w:color w:val="auto"/>
        </w:rPr>
        <w:t xml:space="preserve">九、交货期、交货方式及交货地点 </w:t>
      </w:r>
    </w:p>
    <w:p>
      <w:pPr>
        <w:ind w:firstLine="420"/>
        <w:rPr>
          <w:rFonts w:hint="eastAsia"/>
          <w:color w:val="auto"/>
        </w:rPr>
      </w:pPr>
      <w:r>
        <w:rPr>
          <w:rFonts w:hint="eastAsia"/>
          <w:color w:val="auto"/>
        </w:rPr>
        <w:t xml:space="preserve">9.1 交货期： </w:t>
      </w:r>
    </w:p>
    <w:p>
      <w:pPr>
        <w:ind w:firstLine="420"/>
        <w:rPr>
          <w:rFonts w:hint="eastAsia"/>
          <w:color w:val="auto"/>
        </w:rPr>
      </w:pPr>
      <w:r>
        <w:rPr>
          <w:rFonts w:hint="eastAsia"/>
          <w:color w:val="auto"/>
        </w:rPr>
        <w:t xml:space="preserve">9.2 交货方式： </w:t>
      </w:r>
    </w:p>
    <w:p>
      <w:pPr>
        <w:ind w:firstLine="420"/>
        <w:rPr>
          <w:rFonts w:hint="eastAsia"/>
          <w:color w:val="auto"/>
        </w:rPr>
      </w:pPr>
      <w:r>
        <w:rPr>
          <w:rFonts w:hint="eastAsia"/>
          <w:color w:val="auto"/>
        </w:rPr>
        <w:t>9.3 交货地点：</w:t>
      </w:r>
    </w:p>
    <w:p>
      <w:pPr>
        <w:pStyle w:val="6"/>
        <w:rPr>
          <w:rFonts w:hint="eastAsia" w:ascii="宋体" w:hAnsi="宋体" w:eastAsia="宋体"/>
          <w:color w:val="auto"/>
        </w:rPr>
      </w:pPr>
      <w:r>
        <w:rPr>
          <w:rFonts w:hint="eastAsia" w:ascii="宋体" w:hAnsi="宋体" w:eastAsia="宋体"/>
          <w:color w:val="auto"/>
        </w:rPr>
        <w:t xml:space="preserve">十、货款支付 </w:t>
      </w:r>
    </w:p>
    <w:p>
      <w:pPr>
        <w:ind w:firstLine="420"/>
        <w:rPr>
          <w:rFonts w:hint="eastAsia"/>
          <w:color w:val="auto"/>
        </w:rPr>
      </w:pPr>
      <w:r>
        <w:rPr>
          <w:rFonts w:hint="eastAsia"/>
          <w:color w:val="auto"/>
        </w:rPr>
        <w:t>10.1 付款方式：</w:t>
      </w:r>
    </w:p>
    <w:p>
      <w:pPr>
        <w:ind w:firstLine="420"/>
        <w:rPr>
          <w:rFonts w:hint="eastAsia"/>
          <w:color w:val="auto"/>
        </w:rPr>
      </w:pPr>
      <w:r>
        <w:rPr>
          <w:rFonts w:hint="eastAsia"/>
          <w:color w:val="auto"/>
        </w:rPr>
        <w:t>10.2</w:t>
      </w:r>
      <w:r>
        <w:rPr>
          <w:color w:val="auto"/>
        </w:rPr>
        <w:t xml:space="preserve"> </w:t>
      </w:r>
      <w:r>
        <w:rPr>
          <w:rFonts w:hint="eastAsia"/>
          <w:color w:val="auto"/>
        </w:rPr>
        <w:t xml:space="preserve">当采购数量与实际使用数量不一致时，供应商应根据实际使用量，供货合同的最终结算金额按实际使用量乘以成交单价进行计算。 </w:t>
      </w:r>
    </w:p>
    <w:p>
      <w:pPr>
        <w:pStyle w:val="6"/>
        <w:rPr>
          <w:rFonts w:hint="eastAsia" w:ascii="宋体" w:hAnsi="宋体" w:eastAsia="宋体"/>
          <w:color w:val="auto"/>
        </w:rPr>
      </w:pPr>
      <w:r>
        <w:rPr>
          <w:rFonts w:hint="eastAsia" w:ascii="宋体" w:hAnsi="宋体" w:eastAsia="宋体"/>
          <w:color w:val="auto"/>
        </w:rPr>
        <w:t xml:space="preserve">十一、税费 </w:t>
      </w:r>
    </w:p>
    <w:p>
      <w:pPr>
        <w:ind w:firstLine="420"/>
        <w:rPr>
          <w:rFonts w:hint="eastAsia"/>
          <w:color w:val="auto"/>
        </w:rPr>
      </w:pPr>
      <w:r>
        <w:rPr>
          <w:rFonts w:hint="eastAsia"/>
          <w:color w:val="auto"/>
        </w:rPr>
        <w:t xml:space="preserve">11.1本合同执行中相关的一切税费均由供方负担。 </w:t>
      </w:r>
    </w:p>
    <w:p>
      <w:pPr>
        <w:pStyle w:val="6"/>
        <w:rPr>
          <w:rFonts w:hint="eastAsia" w:ascii="宋体" w:hAnsi="宋体" w:eastAsia="宋体"/>
          <w:color w:val="auto"/>
        </w:rPr>
      </w:pPr>
      <w:r>
        <w:rPr>
          <w:rFonts w:hint="eastAsia" w:ascii="宋体" w:hAnsi="宋体" w:eastAsia="宋体"/>
          <w:color w:val="auto"/>
        </w:rPr>
        <w:t xml:space="preserve">十二、质量保证及售后服务 </w:t>
      </w:r>
    </w:p>
    <w:p>
      <w:pPr>
        <w:ind w:firstLine="420"/>
        <w:rPr>
          <w:rFonts w:hint="eastAsia"/>
          <w:color w:val="auto"/>
        </w:rPr>
      </w:pPr>
      <w:r>
        <w:rPr>
          <w:rFonts w:hint="eastAsia"/>
          <w:color w:val="auto"/>
        </w:rPr>
        <w:t>12.1 乙方应按采购文件规定的货物性能、技术要求、质量标准向甲方提供未经使用的全新产品。</w:t>
      </w:r>
    </w:p>
    <w:p>
      <w:pPr>
        <w:ind w:firstLine="420"/>
        <w:rPr>
          <w:rFonts w:hint="eastAsia"/>
          <w:color w:val="auto"/>
        </w:rPr>
      </w:pPr>
      <w:r>
        <w:rPr>
          <w:rFonts w:hint="eastAsia"/>
          <w:color w:val="auto"/>
        </w:rPr>
        <w:t>12.2 乙方提供的货物在质量期内因货物本身的质量问题发生故障乙方应负责免费更换。对达不到技术要求者根据实际情况经双方协商可按以下办法处理</w:t>
      </w:r>
    </w:p>
    <w:p>
      <w:pPr>
        <w:ind w:firstLine="420"/>
        <w:rPr>
          <w:rFonts w:hint="eastAsia"/>
          <w:color w:val="auto"/>
        </w:rPr>
      </w:pPr>
      <w:r>
        <w:rPr>
          <w:rFonts w:hint="eastAsia"/>
          <w:color w:val="auto"/>
        </w:rPr>
        <w:t>⑴更换。由乙方承担所发生的全部费用。</w:t>
      </w:r>
    </w:p>
    <w:p>
      <w:pPr>
        <w:ind w:firstLine="420"/>
        <w:rPr>
          <w:rFonts w:hint="eastAsia"/>
          <w:color w:val="auto"/>
        </w:rPr>
      </w:pPr>
      <w:r>
        <w:rPr>
          <w:rFonts w:hint="eastAsia"/>
          <w:color w:val="auto"/>
        </w:rPr>
        <w:t>⑵贬值处理。由甲乙双方合议定价。</w:t>
      </w:r>
    </w:p>
    <w:p>
      <w:pPr>
        <w:ind w:firstLine="420"/>
        <w:rPr>
          <w:color w:val="auto"/>
        </w:rPr>
      </w:pPr>
      <w:r>
        <w:rPr>
          <w:rFonts w:hint="eastAsia"/>
          <w:color w:val="auto"/>
        </w:rPr>
        <w:t>⑶退货处理。乙方应退还甲方支付的合同款，同时应承担该货物的直接费用、运输、保险、检验、货款利息及银行手续费等。</w:t>
      </w:r>
    </w:p>
    <w:p>
      <w:pPr>
        <w:ind w:firstLine="420"/>
        <w:rPr>
          <w:rFonts w:hint="eastAsia"/>
          <w:color w:val="auto"/>
        </w:rPr>
      </w:pPr>
      <w:r>
        <w:rPr>
          <w:rFonts w:hint="eastAsia"/>
          <w:color w:val="auto"/>
        </w:rPr>
        <w:t xml:space="preserve">12.3 如在使用过程中发生质量问题，乙方在接到甲方通知后在一小时内到达甲方现场。 </w:t>
      </w:r>
    </w:p>
    <w:p>
      <w:pPr>
        <w:ind w:firstLine="420"/>
        <w:rPr>
          <w:rFonts w:hint="eastAsia"/>
          <w:color w:val="auto"/>
        </w:rPr>
      </w:pPr>
      <w:r>
        <w:rPr>
          <w:rFonts w:hint="eastAsia"/>
          <w:color w:val="auto"/>
        </w:rPr>
        <w:t xml:space="preserve">12.4 在质保期内，乙方应对货物出现的质量及安全问题负责处理解决并承担一切费用。 </w:t>
      </w:r>
    </w:p>
    <w:p>
      <w:pPr>
        <w:ind w:firstLine="420"/>
        <w:rPr>
          <w:rFonts w:hint="eastAsia"/>
          <w:color w:val="auto"/>
        </w:rPr>
      </w:pPr>
      <w:r>
        <w:rPr>
          <w:rFonts w:hint="eastAsia"/>
          <w:color w:val="auto"/>
        </w:rPr>
        <w:t xml:space="preserve">12.5上述的货物免费保修期为  三  年因人为因素出现的故障不在免费保修范围内。超过保修期的机器设备终生维修，维修时只收部件成本费。 </w:t>
      </w:r>
    </w:p>
    <w:p>
      <w:pPr>
        <w:pStyle w:val="6"/>
        <w:rPr>
          <w:rFonts w:hint="eastAsia" w:ascii="宋体" w:hAnsi="宋体" w:eastAsia="宋体"/>
          <w:color w:val="auto"/>
        </w:rPr>
      </w:pPr>
      <w:r>
        <w:rPr>
          <w:rFonts w:hint="eastAsia" w:ascii="宋体" w:hAnsi="宋体" w:eastAsia="宋体"/>
          <w:color w:val="auto"/>
        </w:rPr>
        <w:t xml:space="preserve">十三、调试和验收 </w:t>
      </w:r>
    </w:p>
    <w:p>
      <w:pPr>
        <w:ind w:firstLine="420"/>
        <w:rPr>
          <w:rFonts w:hint="eastAsia"/>
          <w:color w:val="auto"/>
        </w:rPr>
      </w:pPr>
      <w:r>
        <w:rPr>
          <w:rFonts w:hint="eastAsia"/>
          <w:color w:val="auto"/>
        </w:rPr>
        <w:t>13.1 甲方对乙方提交的货物依据采购文件上的技术规格要求和国家有关质量标准进行现场初步验收。外观、说明书符合采购文件技术要求的给予签收初步验收不合格的不予签收。货到后甲方需在五个工作日内验收。</w:t>
      </w:r>
    </w:p>
    <w:p>
      <w:pPr>
        <w:ind w:firstLine="420"/>
        <w:rPr>
          <w:rFonts w:hint="eastAsia"/>
          <w:color w:val="auto"/>
        </w:rPr>
      </w:pPr>
      <w:r>
        <w:rPr>
          <w:rFonts w:hint="eastAsia"/>
          <w:color w:val="auto"/>
        </w:rPr>
        <w:t>13.2 乙方交货前应对产品作出全面检查和对验收文件进行整理并列出清单作为甲方收货验收和使用的技术条件依据，检验的结果应随货物交甲方。</w:t>
      </w:r>
    </w:p>
    <w:p>
      <w:pPr>
        <w:ind w:firstLine="420"/>
        <w:rPr>
          <w:rFonts w:hint="eastAsia"/>
          <w:color w:val="auto"/>
        </w:rPr>
      </w:pPr>
      <w:r>
        <w:rPr>
          <w:rFonts w:hint="eastAsia"/>
          <w:color w:val="auto"/>
        </w:rPr>
        <w:t>13.3 甲方对乙方提供的货物在使用前进行调试时，乙方需负责安装并培训甲方的使用操作人员并协助甲方一起调试直到符合技术要求甲方才做最终验收。</w:t>
      </w:r>
    </w:p>
    <w:p>
      <w:pPr>
        <w:ind w:firstLine="420"/>
        <w:rPr>
          <w:rFonts w:hint="eastAsia"/>
          <w:color w:val="auto"/>
        </w:rPr>
      </w:pPr>
      <w:r>
        <w:rPr>
          <w:rFonts w:hint="eastAsia"/>
          <w:color w:val="auto"/>
        </w:rPr>
        <w:t>13.4 对技术复杂的货物，甲方应请国家认可的专业检测机构参与初步验收及最终验收，并由其出具质量检测报告。</w:t>
      </w:r>
    </w:p>
    <w:p>
      <w:pPr>
        <w:ind w:firstLine="420"/>
        <w:rPr>
          <w:rFonts w:hint="eastAsia"/>
          <w:color w:val="auto"/>
        </w:rPr>
      </w:pPr>
      <w:r>
        <w:rPr>
          <w:rFonts w:hint="eastAsia"/>
          <w:color w:val="auto"/>
        </w:rPr>
        <w:t>13.5 验收时乙方必须在现场，验收完毕后作出验收结果报告，验收费用由乙方负责。</w:t>
      </w:r>
    </w:p>
    <w:p>
      <w:pPr>
        <w:pStyle w:val="6"/>
        <w:rPr>
          <w:rFonts w:hint="eastAsia" w:ascii="宋体" w:hAnsi="宋体" w:eastAsia="宋体"/>
          <w:color w:val="auto"/>
        </w:rPr>
      </w:pPr>
      <w:r>
        <w:rPr>
          <w:rFonts w:hint="eastAsia" w:ascii="宋体" w:hAnsi="宋体" w:eastAsia="宋体"/>
          <w:color w:val="auto"/>
        </w:rPr>
        <w:t xml:space="preserve">十四、货物包装、发运及运输 </w:t>
      </w:r>
    </w:p>
    <w:p>
      <w:pPr>
        <w:ind w:firstLine="420"/>
        <w:rPr>
          <w:rFonts w:hint="eastAsia"/>
          <w:color w:val="auto"/>
        </w:rPr>
      </w:pPr>
      <w:r>
        <w:rPr>
          <w:rFonts w:hint="eastAsia"/>
          <w:color w:val="auto"/>
        </w:rPr>
        <w:t>14.1 乙方应在货物发运前对其进行满足运输距离、防潮、防震、防锈和防破损装卸等要求包装以保证货物安全运达甲方指定地点。</w:t>
      </w:r>
    </w:p>
    <w:p>
      <w:pPr>
        <w:ind w:firstLine="420"/>
        <w:rPr>
          <w:rFonts w:hint="eastAsia"/>
          <w:color w:val="auto"/>
        </w:rPr>
      </w:pPr>
      <w:r>
        <w:rPr>
          <w:rFonts w:hint="eastAsia"/>
          <w:color w:val="auto"/>
        </w:rPr>
        <w:t>14.2 使用说明书、质量检验证明书、随配附件和工具以及清单一并附于货物内。</w:t>
      </w:r>
    </w:p>
    <w:p>
      <w:pPr>
        <w:ind w:firstLine="420"/>
        <w:rPr>
          <w:rFonts w:hint="eastAsia"/>
          <w:color w:val="auto"/>
        </w:rPr>
      </w:pPr>
      <w:r>
        <w:rPr>
          <w:rFonts w:hint="eastAsia"/>
          <w:color w:val="auto"/>
        </w:rPr>
        <w:t xml:space="preserve">14.3 乙方在货物发运手续办理完毕后24小时内或货到甲方48小时前通知甲方以准备接货。 </w:t>
      </w:r>
    </w:p>
    <w:p>
      <w:pPr>
        <w:ind w:firstLine="420"/>
        <w:rPr>
          <w:rFonts w:hint="eastAsia"/>
          <w:color w:val="auto"/>
        </w:rPr>
      </w:pPr>
      <w:r>
        <w:rPr>
          <w:rFonts w:hint="eastAsia"/>
          <w:color w:val="auto"/>
        </w:rPr>
        <w:t>14.3 货物在交付甲方前发生的风险均由乙方负责。</w:t>
      </w:r>
    </w:p>
    <w:p>
      <w:pPr>
        <w:ind w:firstLine="420"/>
        <w:rPr>
          <w:rFonts w:hint="eastAsia"/>
          <w:color w:val="auto"/>
        </w:rPr>
      </w:pPr>
      <w:r>
        <w:rPr>
          <w:rFonts w:hint="eastAsia"/>
          <w:color w:val="auto"/>
        </w:rPr>
        <w:t>14.5 货物在规定的交付期限内由乙方送达甲方指定的地点视为交付，乙方同时需通知甲方货物已送达。</w:t>
      </w:r>
    </w:p>
    <w:p>
      <w:pPr>
        <w:pStyle w:val="6"/>
        <w:rPr>
          <w:rFonts w:hint="eastAsia" w:ascii="宋体" w:hAnsi="宋体" w:eastAsia="宋体"/>
          <w:color w:val="auto"/>
        </w:rPr>
      </w:pPr>
      <w:r>
        <w:rPr>
          <w:rFonts w:hint="eastAsia" w:ascii="宋体" w:hAnsi="宋体" w:eastAsia="宋体"/>
          <w:color w:val="auto"/>
        </w:rPr>
        <w:t xml:space="preserve">十五、违约责任 </w:t>
      </w:r>
    </w:p>
    <w:p>
      <w:pPr>
        <w:ind w:firstLine="420"/>
        <w:rPr>
          <w:rFonts w:hint="eastAsia"/>
          <w:color w:val="auto"/>
        </w:rPr>
      </w:pPr>
      <w:r>
        <w:rPr>
          <w:rFonts w:hint="eastAsia"/>
          <w:color w:val="auto"/>
        </w:rPr>
        <w:t>15.1 甲方无正当理由拒收货物的，甲方向乙方偿付拒收货款总值的百分之五违约金。</w:t>
      </w:r>
    </w:p>
    <w:p>
      <w:pPr>
        <w:ind w:firstLine="420"/>
        <w:rPr>
          <w:color w:val="auto"/>
        </w:rPr>
      </w:pPr>
      <w:r>
        <w:rPr>
          <w:rFonts w:hint="eastAsia"/>
          <w:color w:val="auto"/>
        </w:rPr>
        <w:t>15.2 甲方无故逾期验收和办理货款支付手续的,甲方应按逾期付款总额每日万分之五向乙方支付违约金。</w:t>
      </w:r>
    </w:p>
    <w:p>
      <w:pPr>
        <w:ind w:firstLine="420"/>
        <w:rPr>
          <w:rFonts w:hint="eastAsia"/>
          <w:color w:val="auto"/>
        </w:rPr>
      </w:pPr>
      <w:r>
        <w:rPr>
          <w:rFonts w:hint="eastAsia"/>
          <w:color w:val="auto"/>
        </w:rPr>
        <w:t>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ind w:firstLine="420"/>
        <w:rPr>
          <w:rFonts w:hint="eastAsia"/>
          <w:color w:val="auto"/>
        </w:rPr>
      </w:pPr>
      <w:r>
        <w:rPr>
          <w:rFonts w:hint="eastAsia"/>
          <w:color w:val="auto"/>
        </w:rPr>
        <w:t>15.4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6"/>
        <w:rPr>
          <w:rFonts w:hint="eastAsia" w:ascii="宋体" w:hAnsi="宋体" w:eastAsia="宋体"/>
          <w:color w:val="auto"/>
        </w:rPr>
      </w:pPr>
      <w:r>
        <w:rPr>
          <w:rFonts w:hint="eastAsia" w:ascii="宋体" w:hAnsi="宋体" w:eastAsia="宋体"/>
          <w:color w:val="auto"/>
        </w:rPr>
        <w:t xml:space="preserve">十六、不可抗力事件处理 </w:t>
      </w:r>
    </w:p>
    <w:p>
      <w:pPr>
        <w:ind w:firstLine="420"/>
        <w:rPr>
          <w:color w:val="auto"/>
        </w:rPr>
      </w:pPr>
      <w:r>
        <w:rPr>
          <w:rFonts w:hint="eastAsia"/>
          <w:color w:val="auto"/>
        </w:rPr>
        <w:t>16.1 在合同有效期内，任何一方因不可抗力事件导致不能履行合同，则合同履行期可延长其延长期与不可抗力影响期相同。</w:t>
      </w:r>
    </w:p>
    <w:p>
      <w:pPr>
        <w:ind w:firstLine="420"/>
        <w:rPr>
          <w:rFonts w:hint="eastAsia"/>
          <w:color w:val="auto"/>
        </w:rPr>
      </w:pPr>
      <w:r>
        <w:rPr>
          <w:rFonts w:hint="eastAsia"/>
          <w:color w:val="auto"/>
        </w:rPr>
        <w:t>16.2 不可抗力事件发生后，应立即通知对方，并寄送有关权威机构出具的证明。</w:t>
      </w:r>
    </w:p>
    <w:p>
      <w:pPr>
        <w:ind w:firstLine="420"/>
        <w:rPr>
          <w:rFonts w:hint="eastAsia"/>
          <w:color w:val="auto"/>
        </w:rPr>
      </w:pPr>
      <w:r>
        <w:rPr>
          <w:rFonts w:hint="eastAsia"/>
          <w:color w:val="auto"/>
        </w:rPr>
        <w:t xml:space="preserve">16.3 不可抗力事件延续120天以上，双方应通过友好协商，确定是否继续履行合同。 </w:t>
      </w:r>
    </w:p>
    <w:p>
      <w:pPr>
        <w:pStyle w:val="6"/>
        <w:rPr>
          <w:rFonts w:hint="eastAsia" w:ascii="宋体" w:hAnsi="宋体" w:eastAsia="宋体"/>
          <w:color w:val="auto"/>
        </w:rPr>
      </w:pPr>
      <w:r>
        <w:rPr>
          <w:rFonts w:hint="eastAsia" w:ascii="宋体" w:hAnsi="宋体" w:eastAsia="宋体"/>
          <w:color w:val="auto"/>
        </w:rPr>
        <w:t xml:space="preserve">十七、诉讼 </w:t>
      </w:r>
    </w:p>
    <w:p>
      <w:pPr>
        <w:ind w:firstLine="420"/>
        <w:rPr>
          <w:rFonts w:hint="eastAsia"/>
          <w:color w:val="auto"/>
        </w:rPr>
      </w:pPr>
      <w:r>
        <w:rPr>
          <w:rFonts w:hint="eastAsia"/>
          <w:color w:val="auto"/>
        </w:rPr>
        <w:t xml:space="preserve">17.1 双方在执行合同中所发生的一切争议，应通过协商解决。如协商不成，可向合同签订地法院起诉，合同签订地在此约定为杭州市。 </w:t>
      </w:r>
    </w:p>
    <w:p>
      <w:pPr>
        <w:pStyle w:val="6"/>
        <w:rPr>
          <w:rFonts w:hint="eastAsia" w:ascii="宋体" w:hAnsi="宋体" w:eastAsia="宋体"/>
          <w:color w:val="auto"/>
        </w:rPr>
      </w:pPr>
      <w:r>
        <w:rPr>
          <w:rFonts w:hint="eastAsia" w:ascii="宋体" w:hAnsi="宋体" w:eastAsia="宋体"/>
          <w:color w:val="auto"/>
        </w:rPr>
        <w:t xml:space="preserve">十八、合同生效及其它 </w:t>
      </w:r>
    </w:p>
    <w:p>
      <w:pPr>
        <w:ind w:firstLine="420"/>
        <w:rPr>
          <w:rFonts w:hint="eastAsia"/>
          <w:color w:val="auto"/>
        </w:rPr>
      </w:pPr>
      <w:r>
        <w:rPr>
          <w:rFonts w:hint="eastAsia"/>
          <w:color w:val="auto"/>
        </w:rPr>
        <w:t xml:space="preserve">18.1 合同经双方法定代表人或授权委托代理人签字并加盖单位公章后生效。 </w:t>
      </w:r>
    </w:p>
    <w:p>
      <w:pPr>
        <w:ind w:firstLine="420"/>
        <w:rPr>
          <w:rFonts w:hint="eastAsia"/>
          <w:color w:val="auto"/>
        </w:rPr>
      </w:pPr>
      <w:r>
        <w:rPr>
          <w:rFonts w:hint="eastAsia"/>
          <w:color w:val="auto"/>
        </w:rPr>
        <w:t xml:space="preserve">18.2合同执行中涉及采购资金和采购内容修改或补充的，须经财政部门审批，并签书面补充协议报采购监督管理部门备案，方可作为主合同不可分割的一部分。 </w:t>
      </w:r>
    </w:p>
    <w:p>
      <w:pPr>
        <w:ind w:firstLine="420"/>
        <w:rPr>
          <w:rFonts w:hint="eastAsia"/>
          <w:color w:val="auto"/>
        </w:rPr>
      </w:pPr>
      <w:r>
        <w:rPr>
          <w:rFonts w:hint="eastAsia"/>
          <w:color w:val="auto"/>
        </w:rPr>
        <w:t xml:space="preserve">18.3本合同未尽事宜遵照《合同法》有关条文执行。 </w:t>
      </w:r>
    </w:p>
    <w:p>
      <w:pPr>
        <w:ind w:firstLine="420"/>
        <w:rPr>
          <w:rFonts w:hint="eastAsia"/>
          <w:color w:val="auto"/>
        </w:rPr>
      </w:pPr>
      <w:r>
        <w:rPr>
          <w:rFonts w:hint="eastAsia"/>
          <w:color w:val="auto"/>
        </w:rPr>
        <w:t xml:space="preserve">18.4 本合同正本一式两份，具有同等法律效力甲乙双方各执一份副本三份(用途)。 </w:t>
      </w:r>
    </w:p>
    <w:p>
      <w:pPr>
        <w:ind w:firstLine="420"/>
        <w:rPr>
          <w:rFonts w:hint="eastAsia"/>
          <w:color w:val="auto"/>
        </w:rPr>
      </w:pPr>
      <w:r>
        <w:rPr>
          <w:rFonts w:hint="eastAsia"/>
          <w:color w:val="auto"/>
        </w:rPr>
        <w:t>甲方（</w:t>
      </w:r>
      <w:r>
        <w:rPr>
          <w:color w:val="auto"/>
        </w:rPr>
        <w:t>盖章）</w:t>
      </w:r>
      <w:r>
        <w:rPr>
          <w:rFonts w:hint="eastAsia"/>
          <w:color w:val="auto"/>
        </w:rPr>
        <w:t xml:space="preserve">：      </w:t>
      </w:r>
      <w:r>
        <w:rPr>
          <w:color w:val="auto"/>
        </w:rPr>
        <w:t xml:space="preserve"> </w:t>
      </w:r>
      <w:r>
        <w:rPr>
          <w:rFonts w:hint="eastAsia"/>
          <w:color w:val="auto"/>
        </w:rPr>
        <w:t xml:space="preserve">             乙方（</w:t>
      </w:r>
      <w:r>
        <w:rPr>
          <w:color w:val="auto"/>
        </w:rPr>
        <w:t>盖章）</w:t>
      </w:r>
      <w:r>
        <w:rPr>
          <w:rFonts w:hint="eastAsia"/>
          <w:color w:val="auto"/>
        </w:rPr>
        <w:t>：</w:t>
      </w:r>
    </w:p>
    <w:p>
      <w:pPr>
        <w:ind w:firstLine="420"/>
        <w:rPr>
          <w:color w:val="auto"/>
        </w:rPr>
      </w:pPr>
      <w:r>
        <w:rPr>
          <w:rFonts w:hint="eastAsia"/>
          <w:color w:val="auto"/>
        </w:rPr>
        <w:t>法定代表人（</w:t>
      </w:r>
      <w:r>
        <w:rPr>
          <w:color w:val="auto"/>
        </w:rPr>
        <w:t>或授权代表）</w:t>
      </w:r>
      <w:r>
        <w:rPr>
          <w:rFonts w:hint="eastAsia"/>
          <w:color w:val="auto"/>
        </w:rPr>
        <w:t>：        法定代表人（</w:t>
      </w:r>
      <w:r>
        <w:rPr>
          <w:color w:val="auto"/>
        </w:rPr>
        <w:t>或授权代表）</w:t>
      </w:r>
      <w:r>
        <w:rPr>
          <w:rFonts w:hint="eastAsia"/>
          <w:color w:val="auto"/>
        </w:rPr>
        <w:t>：</w:t>
      </w:r>
    </w:p>
    <w:p>
      <w:pPr>
        <w:ind w:firstLine="420"/>
        <w:rPr>
          <w:color w:val="auto"/>
        </w:rPr>
      </w:pPr>
      <w:r>
        <w:rPr>
          <w:rFonts w:hint="eastAsia"/>
          <w:color w:val="auto"/>
        </w:rPr>
        <w:t>地址：                           地址：</w:t>
      </w:r>
    </w:p>
    <w:p>
      <w:pPr>
        <w:ind w:firstLine="420"/>
        <w:rPr>
          <w:color w:val="auto"/>
        </w:rPr>
      </w:pPr>
      <w:r>
        <w:rPr>
          <w:rFonts w:hint="eastAsia"/>
          <w:color w:val="auto"/>
        </w:rPr>
        <w:t>联系人</w:t>
      </w:r>
      <w:r>
        <w:rPr>
          <w:color w:val="auto"/>
        </w:rPr>
        <w:t>：</w:t>
      </w:r>
      <w:r>
        <w:rPr>
          <w:rFonts w:hint="eastAsia"/>
          <w:color w:val="auto"/>
        </w:rPr>
        <w:t xml:space="preserve">                           联系人</w:t>
      </w:r>
      <w:r>
        <w:rPr>
          <w:color w:val="auto"/>
        </w:rPr>
        <w:t>：</w:t>
      </w:r>
    </w:p>
    <w:p>
      <w:pPr>
        <w:ind w:firstLine="420"/>
        <w:rPr>
          <w:color w:val="auto"/>
        </w:rPr>
      </w:pPr>
      <w:r>
        <w:rPr>
          <w:rFonts w:hint="eastAsia"/>
          <w:color w:val="auto"/>
        </w:rPr>
        <w:t>联系</w:t>
      </w:r>
      <w:r>
        <w:rPr>
          <w:color w:val="auto"/>
        </w:rPr>
        <w:t>电话：</w:t>
      </w:r>
      <w:r>
        <w:rPr>
          <w:rFonts w:hint="eastAsia"/>
          <w:color w:val="auto"/>
        </w:rPr>
        <w:t xml:space="preserve">                         联系</w:t>
      </w:r>
      <w:r>
        <w:rPr>
          <w:color w:val="auto"/>
        </w:rPr>
        <w:t>电话：</w:t>
      </w:r>
    </w:p>
    <w:p>
      <w:pPr>
        <w:ind w:firstLine="420"/>
        <w:rPr>
          <w:color w:val="auto"/>
        </w:rPr>
      </w:pPr>
      <w:r>
        <w:rPr>
          <w:rFonts w:hint="eastAsia"/>
          <w:color w:val="auto"/>
        </w:rPr>
        <w:t>传真</w:t>
      </w:r>
      <w:r>
        <w:rPr>
          <w:color w:val="auto"/>
        </w:rPr>
        <w:t>：</w:t>
      </w:r>
      <w:r>
        <w:rPr>
          <w:rFonts w:hint="eastAsia"/>
          <w:color w:val="auto"/>
        </w:rPr>
        <w:t xml:space="preserve">                             传真</w:t>
      </w:r>
      <w:r>
        <w:rPr>
          <w:color w:val="auto"/>
        </w:rPr>
        <w:t>：</w:t>
      </w:r>
    </w:p>
    <w:p>
      <w:pPr>
        <w:ind w:firstLine="420"/>
        <w:rPr>
          <w:color w:val="auto"/>
        </w:rPr>
      </w:pPr>
      <w:r>
        <w:rPr>
          <w:rFonts w:hint="eastAsia"/>
          <w:color w:val="auto"/>
        </w:rPr>
        <w:t>开户银行</w:t>
      </w:r>
      <w:r>
        <w:rPr>
          <w:color w:val="auto"/>
        </w:rPr>
        <w:t>：</w:t>
      </w:r>
      <w:r>
        <w:rPr>
          <w:rFonts w:hint="eastAsia"/>
          <w:color w:val="auto"/>
        </w:rPr>
        <w:t xml:space="preserve">                         开户</w:t>
      </w:r>
      <w:r>
        <w:rPr>
          <w:color w:val="auto"/>
        </w:rPr>
        <w:t>银行：</w:t>
      </w:r>
    </w:p>
    <w:p>
      <w:pPr>
        <w:ind w:firstLine="420"/>
        <w:rPr>
          <w:rFonts w:hint="eastAsia"/>
          <w:color w:val="auto"/>
        </w:rPr>
      </w:pPr>
      <w:r>
        <w:rPr>
          <w:rFonts w:hint="eastAsia"/>
          <w:color w:val="auto"/>
        </w:rPr>
        <w:t>银行账号</w:t>
      </w:r>
      <w:r>
        <w:rPr>
          <w:color w:val="auto"/>
        </w:rPr>
        <w:t>：</w:t>
      </w:r>
      <w:r>
        <w:rPr>
          <w:rFonts w:hint="eastAsia"/>
          <w:color w:val="auto"/>
        </w:rPr>
        <w:t xml:space="preserve">                         银行账号</w:t>
      </w:r>
      <w:r>
        <w:rPr>
          <w:color w:val="auto"/>
        </w:rPr>
        <w:t>：</w:t>
      </w:r>
    </w:p>
    <w:p>
      <w:pPr>
        <w:ind w:firstLine="420"/>
        <w:rPr>
          <w:color w:val="auto"/>
        </w:rPr>
      </w:pPr>
      <w:r>
        <w:rPr>
          <w:rFonts w:hint="eastAsia"/>
          <w:color w:val="auto"/>
        </w:rPr>
        <w:t>签订地点：                       签订日期：</w:t>
      </w:r>
    </w:p>
    <w:p>
      <w:pPr>
        <w:ind w:firstLine="420"/>
        <w:rPr>
          <w:color w:val="auto"/>
        </w:rPr>
      </w:pPr>
    </w:p>
    <w:p>
      <w:pPr>
        <w:ind w:firstLine="420"/>
        <w:rPr>
          <w:rFonts w:hint="eastAsia"/>
          <w:color w:val="auto"/>
        </w:rPr>
      </w:pPr>
      <w:r>
        <w:rPr>
          <w:rFonts w:hint="eastAsia"/>
          <w:color w:val="auto"/>
        </w:rPr>
        <w:t>鉴证方（</w:t>
      </w:r>
      <w:r>
        <w:rPr>
          <w:color w:val="auto"/>
        </w:rPr>
        <w:t>盖章）</w:t>
      </w:r>
      <w:r>
        <w:rPr>
          <w:rFonts w:hint="eastAsia"/>
          <w:color w:val="auto"/>
        </w:rPr>
        <w:t>：浙江信镧建设工程咨询有限公司</w:t>
      </w:r>
    </w:p>
    <w:p>
      <w:pPr>
        <w:ind w:firstLine="420"/>
        <w:rPr>
          <w:color w:val="auto"/>
        </w:rPr>
      </w:pPr>
      <w:r>
        <w:rPr>
          <w:rFonts w:hint="eastAsia"/>
          <w:color w:val="auto"/>
        </w:rPr>
        <w:t>法定代表人（</w:t>
      </w:r>
      <w:r>
        <w:rPr>
          <w:color w:val="auto"/>
        </w:rPr>
        <w:t>或授权代表）</w:t>
      </w:r>
      <w:r>
        <w:rPr>
          <w:rFonts w:hint="eastAsia"/>
          <w:color w:val="auto"/>
        </w:rPr>
        <w:t>：</w:t>
      </w:r>
    </w:p>
    <w:p>
      <w:pPr>
        <w:ind w:firstLine="420"/>
        <w:rPr>
          <w:color w:val="auto"/>
        </w:rPr>
      </w:pPr>
      <w:r>
        <w:rPr>
          <w:rFonts w:hint="eastAsia"/>
          <w:color w:val="auto"/>
        </w:rPr>
        <w:t xml:space="preserve">地址：                      </w:t>
      </w:r>
    </w:p>
    <w:p>
      <w:pPr>
        <w:ind w:firstLine="420"/>
        <w:rPr>
          <w:color w:val="auto"/>
        </w:rPr>
      </w:pPr>
      <w:r>
        <w:rPr>
          <w:rFonts w:hint="eastAsia"/>
          <w:color w:val="auto"/>
        </w:rPr>
        <w:t>联系人</w:t>
      </w:r>
      <w:r>
        <w:rPr>
          <w:color w:val="auto"/>
        </w:rPr>
        <w:t>：</w:t>
      </w:r>
    </w:p>
    <w:p>
      <w:pPr>
        <w:ind w:firstLine="420"/>
        <w:rPr>
          <w:color w:val="auto"/>
        </w:rPr>
      </w:pPr>
      <w:r>
        <w:rPr>
          <w:rFonts w:hint="eastAsia"/>
          <w:color w:val="auto"/>
        </w:rPr>
        <w:t>联系</w:t>
      </w:r>
      <w:r>
        <w:rPr>
          <w:color w:val="auto"/>
        </w:rPr>
        <w:t>电话：</w:t>
      </w:r>
    </w:p>
    <w:p>
      <w:pPr>
        <w:ind w:firstLine="420"/>
        <w:rPr>
          <w:rFonts w:hint="eastAsia"/>
          <w:color w:val="auto"/>
        </w:rPr>
      </w:pPr>
      <w:r>
        <w:rPr>
          <w:rFonts w:hint="eastAsia"/>
          <w:color w:val="auto"/>
        </w:rPr>
        <w:t>传真</w:t>
      </w:r>
      <w:r>
        <w:rPr>
          <w:color w:val="auto"/>
        </w:rPr>
        <w:t>：</w:t>
      </w:r>
    </w:p>
    <w:p>
      <w:pPr>
        <w:ind w:firstLine="420"/>
        <w:rPr>
          <w:color w:val="auto"/>
        </w:rPr>
      </w:pPr>
      <w:r>
        <w:rPr>
          <w:rFonts w:hint="eastAsia"/>
          <w:color w:val="auto"/>
        </w:rPr>
        <w:t>鉴证日期：</w:t>
      </w:r>
    </w:p>
    <w:p>
      <w:pPr>
        <w:pStyle w:val="6"/>
        <w:jc w:val="center"/>
        <w:rPr>
          <w:color w:val="auto"/>
        </w:rPr>
      </w:pPr>
      <w:r>
        <w:rPr>
          <w:rFonts w:ascii="宋体" w:hAnsi="宋体" w:eastAsia="宋体"/>
          <w:color w:val="auto"/>
        </w:rPr>
        <w:br w:type="page"/>
      </w:r>
    </w:p>
    <w:p>
      <w:pPr>
        <w:pStyle w:val="6"/>
        <w:jc w:val="center"/>
        <w:rPr>
          <w:color w:val="auto"/>
          <w:sz w:val="28"/>
          <w:szCs w:val="28"/>
        </w:rPr>
      </w:pPr>
      <w:r>
        <w:rPr>
          <w:rFonts w:hint="eastAsia"/>
          <w:color w:val="auto"/>
          <w:sz w:val="28"/>
          <w:szCs w:val="28"/>
        </w:rPr>
        <w:t>政府采购项目验收书</w:t>
      </w: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4358" w:type="dxa"/>
            <w:gridSpan w:val="2"/>
            <w:vAlign w:val="center"/>
          </w:tcPr>
          <w:p>
            <w:pPr>
              <w:snapToGrid w:val="0"/>
              <w:spacing w:beforeLines="50" w:afterLines="50"/>
              <w:ind w:firstLine="0" w:firstLineChars="0"/>
              <w:jc w:val="center"/>
              <w:rPr>
                <w:rFonts w:ascii="宋体"/>
                <w:color w:val="auto"/>
                <w:szCs w:val="21"/>
              </w:rPr>
            </w:pPr>
          </w:p>
        </w:tc>
        <w:tc>
          <w:tcPr>
            <w:tcW w:w="131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项目编号</w:t>
            </w:r>
          </w:p>
        </w:tc>
        <w:tc>
          <w:tcPr>
            <w:tcW w:w="2461" w:type="dxa"/>
            <w:gridSpan w:val="2"/>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招标项目</w:t>
            </w:r>
          </w:p>
        </w:tc>
        <w:tc>
          <w:tcPr>
            <w:tcW w:w="8131" w:type="dxa"/>
            <w:gridSpan w:val="5"/>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序号</w:t>
            </w:r>
          </w:p>
        </w:tc>
        <w:tc>
          <w:tcPr>
            <w:tcW w:w="3010"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验收内容</w:t>
            </w:r>
          </w:p>
        </w:tc>
        <w:tc>
          <w:tcPr>
            <w:tcW w:w="1915"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合同约定</w:t>
            </w:r>
          </w:p>
        </w:tc>
        <w:tc>
          <w:tcPr>
            <w:tcW w:w="2871"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执行情况</w:t>
            </w:r>
          </w:p>
        </w:tc>
        <w:tc>
          <w:tcPr>
            <w:tcW w:w="90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投</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bl>
    <w:p>
      <w:pPr>
        <w:ind w:firstLine="420"/>
        <w:rPr>
          <w:color w:val="auto"/>
          <w:szCs w:val="21"/>
        </w:rPr>
      </w:pPr>
      <w:r>
        <w:rPr>
          <w:rFonts w:hint="eastAsia"/>
          <w:color w:val="auto"/>
          <w:szCs w:val="21"/>
        </w:rPr>
        <w:t>注：</w:t>
      </w:r>
      <w:r>
        <w:rPr>
          <w:color w:val="auto"/>
          <w:szCs w:val="21"/>
        </w:rPr>
        <w:t>1</w:t>
      </w:r>
      <w:r>
        <w:rPr>
          <w:rFonts w:hint="eastAsia"/>
          <w:color w:val="auto"/>
          <w:szCs w:val="21"/>
        </w:rPr>
        <w:t>、采购人应当按照合同规定的技术、服务、安全标准，组织对供应商履约情况进行验收，并出具验收书。验收书应当包括每一项技术、服务、安全标准履约情况。</w:t>
      </w:r>
    </w:p>
    <w:p>
      <w:pPr>
        <w:ind w:firstLine="420"/>
        <w:rPr>
          <w:color w:val="auto"/>
          <w:szCs w:val="21"/>
        </w:rPr>
      </w:pPr>
      <w:r>
        <w:rPr>
          <w:color w:val="auto"/>
          <w:szCs w:val="21"/>
        </w:rPr>
        <w:t>2</w:t>
      </w:r>
      <w:r>
        <w:rPr>
          <w:rFonts w:hint="eastAsia"/>
          <w:color w:val="auto"/>
          <w:szCs w:val="21"/>
        </w:rPr>
        <w:t>、政府向社会公众提供的公共服务项目，验收时应当邀请服务对象参与并出具意见，验收结果应当向社会公告。</w:t>
      </w:r>
    </w:p>
    <w:p>
      <w:pPr>
        <w:widowControl/>
        <w:spacing w:line="240" w:lineRule="auto"/>
        <w:ind w:firstLine="0" w:firstLineChars="0"/>
        <w:jc w:val="left"/>
        <w:rPr>
          <w:rFonts w:asciiTheme="minorEastAsia" w:hAnsiTheme="minorEastAsia" w:eastAsiaTheme="minorEastAsia"/>
          <w:color w:val="auto"/>
        </w:rPr>
      </w:pPr>
      <w:r>
        <w:rPr>
          <w:color w:val="auto"/>
        </w:rPr>
        <w:br w:type="page"/>
      </w:r>
    </w:p>
    <w:p>
      <w:pPr>
        <w:pStyle w:val="4"/>
        <w:ind w:firstLine="0" w:firstLineChars="0"/>
        <w:rPr>
          <w:rFonts w:asciiTheme="minorEastAsia" w:hAnsiTheme="minorEastAsia" w:eastAsiaTheme="minorEastAsia"/>
          <w:color w:val="auto"/>
          <w:sz w:val="32"/>
          <w:szCs w:val="32"/>
        </w:rPr>
      </w:pPr>
      <w:bookmarkStart w:id="109" w:name="_Toc450840088"/>
      <w:bookmarkStart w:id="110" w:name="_Toc2467"/>
      <w:r>
        <w:rPr>
          <w:rFonts w:hint="eastAsia" w:asciiTheme="minorEastAsia" w:hAnsiTheme="minorEastAsia" w:eastAsiaTheme="minorEastAsia"/>
          <w:color w:val="auto"/>
          <w:sz w:val="32"/>
          <w:szCs w:val="32"/>
        </w:rPr>
        <w:t>第五章 投标文件内容及格式</w:t>
      </w:r>
      <w:bookmarkEnd w:id="109"/>
      <w:bookmarkEnd w:id="110"/>
    </w:p>
    <w:p>
      <w:pPr>
        <w:ind w:firstLine="420"/>
        <w:rPr>
          <w:rFonts w:asciiTheme="minorEastAsia" w:hAnsiTheme="minorEastAsia" w:eastAsiaTheme="minorEastAsia"/>
          <w:color w:val="auto"/>
        </w:rPr>
      </w:pPr>
    </w:p>
    <w:p>
      <w:pPr>
        <w:pStyle w:val="5"/>
        <w:rPr>
          <w:rFonts w:cs="宋体" w:asciiTheme="minorEastAsia" w:hAnsiTheme="minorEastAsia" w:eastAsiaTheme="minorEastAsia"/>
          <w:color w:val="auto"/>
          <w:szCs w:val="21"/>
        </w:rPr>
      </w:pPr>
      <w:bookmarkStart w:id="111" w:name="_Toc2078383"/>
      <w:bookmarkStart w:id="112" w:name="_Toc18750"/>
      <w:bookmarkStart w:id="113" w:name="_Toc6227669"/>
      <w:r>
        <w:rPr>
          <w:rFonts w:hint="eastAsia" w:cs="宋体" w:asciiTheme="minorEastAsia" w:hAnsiTheme="minorEastAsia" w:eastAsiaTheme="minorEastAsia"/>
          <w:color w:val="auto"/>
          <w:szCs w:val="21"/>
        </w:rPr>
        <w:t>1投标人提交投标文件须知</w:t>
      </w:r>
      <w:bookmarkEnd w:id="111"/>
      <w:bookmarkEnd w:id="112"/>
      <w:bookmarkEnd w:id="113"/>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1.1投标人应严格按照以下顺序填写和提交下述规定的全部格式文件以及其他有关资料，混乱的编排导致投标文件被误读或评标委员会查找不到有效文件或内容是投标人的风险。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1.2所附表格中要求回答的全部问题或信息都必须正面回答。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1.3声明书的签字人应保证全部声明和问题的回答是真实的和准确的。</w:t>
      </w:r>
    </w:p>
    <w:p>
      <w:pPr>
        <w:ind w:firstLine="420"/>
        <w:rPr>
          <w:rFonts w:cs="宋体" w:asciiTheme="minorEastAsia" w:hAnsiTheme="minorEastAsia" w:eastAsiaTheme="minorEastAsia"/>
          <w:strike/>
          <w:color w:val="auto"/>
          <w:szCs w:val="21"/>
        </w:rPr>
      </w:pPr>
      <w:bookmarkStart w:id="114" w:name="_Hlk8682741"/>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投标人在投标文件中，应对项目技术规范和服务要求中所提出各项要求进行逐条逐项的答复、说明和解释。应对《技术条款偏离表》和《商务条款偏离表》偏离情况明确作出“偏离”、“无偏离”的应答，并作出具体、详细的说明。回答“无偏离”应说明如何满足招标文件要求没有偏离，回答“偏离”应明确说明哪部分偏离没有满足招标文件要求。任何含糊不清的表述对评标结果的影响将是投标人的责任；</w:t>
      </w:r>
    </w:p>
    <w:bookmarkEnd w:id="114"/>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1.5投标人提交的材料将按规定被保密保存。</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1.6全部文件应按投标人须知中规定的语言和份数提交。</w:t>
      </w:r>
    </w:p>
    <w:p>
      <w:pPr>
        <w:pStyle w:val="5"/>
        <w:rPr>
          <w:rFonts w:cs="宋体" w:asciiTheme="minorEastAsia" w:hAnsiTheme="minorEastAsia" w:eastAsiaTheme="minorEastAsia"/>
          <w:color w:val="auto"/>
          <w:szCs w:val="21"/>
        </w:rPr>
      </w:pPr>
      <w:bookmarkStart w:id="115" w:name="_Toc23766"/>
      <w:bookmarkStart w:id="116" w:name="_Toc2078384"/>
      <w:bookmarkStart w:id="117" w:name="_Toc6227670"/>
      <w:r>
        <w:rPr>
          <w:rFonts w:hint="eastAsia" w:cs="宋体" w:asciiTheme="minorEastAsia" w:hAnsiTheme="minorEastAsia" w:eastAsiaTheme="minorEastAsia"/>
          <w:color w:val="auto"/>
          <w:szCs w:val="21"/>
        </w:rPr>
        <w:t>2投标文件组成</w:t>
      </w:r>
      <w:bookmarkEnd w:id="115"/>
      <w:bookmarkEnd w:id="116"/>
      <w:bookmarkEnd w:id="117"/>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w:t>
      </w:r>
    </w:p>
    <w:p>
      <w:pPr>
        <w:pStyle w:val="6"/>
        <w:rPr>
          <w:color w:val="auto"/>
        </w:rPr>
      </w:pPr>
      <w:r>
        <w:rPr>
          <w:rFonts w:hint="eastAsia"/>
          <w:color w:val="auto"/>
        </w:rPr>
        <w:t>2.1资格证明文件</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1）提供有效的营业执照/副本复印件并加盖公司公章；事业单位/社会团体的，则提供有效的《事业单位法人证书》/《社会团体法人登记证书》副本复印件并加盖单位公章；自然人的，则提供有效的身份证复印件并签字；</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（2）提供最近一次有效的依法缴纳税收证明，并加盖单位公章（完税凭证或税务部门出具的证明，单位没有纳税记录的，出具在税务机关纳税平台系统零申报纳税的截图或从该系统生成的零申报纳税申报表）；</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（3）提供有效的最近一个月依法缴纳社会保障资金证明（缴纳凭证或人社部门出具的证明）；</w:t>
      </w:r>
    </w:p>
    <w:p>
      <w:pPr>
        <w:snapToGrid w:val="0"/>
        <w:spacing w:before="120" w:beforeLines="50" w:after="50" w:line="360" w:lineRule="auto"/>
        <w:jc w:val="both"/>
        <w:rPr>
          <w:rFonts w:hint="eastAsia" w:ascii="宋体" w:hAnsi="宋体" w:eastAsia="宋体" w:cs="宋体"/>
          <w:b w:val="0"/>
          <w:bCs w:val="0"/>
          <w:color w:val="auto"/>
          <w:sz w:val="21"/>
          <w:szCs w:val="21"/>
        </w:rPr>
      </w:pPr>
      <w:r>
        <w:rPr>
          <w:rFonts w:hint="eastAsia" w:cs="宋体" w:asciiTheme="minorEastAsia" w:hAnsiTheme="minorEastAsia" w:eastAsiaTheme="minorEastAsia"/>
          <w:b w:val="0"/>
          <w:bCs w:val="0"/>
          <w:color w:val="auto"/>
          <w:szCs w:val="21"/>
          <w:highlight w:val="none"/>
        </w:rPr>
        <w:t>（4）</w:t>
      </w:r>
      <w:r>
        <w:rPr>
          <w:rFonts w:hint="eastAsia" w:ascii="宋体" w:hAnsi="宋体" w:eastAsia="宋体" w:cs="宋体"/>
          <w:b w:val="0"/>
          <w:bCs w:val="0"/>
          <w:color w:val="auto"/>
          <w:sz w:val="21"/>
          <w:szCs w:val="21"/>
        </w:rPr>
        <w:t>投标声明书</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lang w:eastAsia="zh-CN"/>
        </w:rPr>
        <w:t>（</w:t>
      </w:r>
      <w:r>
        <w:rPr>
          <w:rFonts w:hint="eastAsia" w:cs="宋体" w:asciiTheme="minorEastAsia" w:hAnsiTheme="minorEastAsia" w:eastAsiaTheme="minorEastAsia"/>
          <w:b w:val="0"/>
          <w:bCs w:val="0"/>
          <w:color w:val="auto"/>
          <w:szCs w:val="21"/>
          <w:highlight w:val="none"/>
          <w:lang w:val="en-US" w:eastAsia="zh-CN"/>
        </w:rPr>
        <w:t>5</w:t>
      </w:r>
      <w:r>
        <w:rPr>
          <w:rFonts w:hint="eastAsia" w:cs="宋体" w:asciiTheme="minorEastAsia" w:hAnsiTheme="minorEastAsia" w:eastAsiaTheme="minorEastAsia"/>
          <w:b w:val="0"/>
          <w:bCs w:val="0"/>
          <w:color w:val="auto"/>
          <w:szCs w:val="21"/>
          <w:highlight w:val="none"/>
          <w:lang w:eastAsia="zh-CN"/>
        </w:rPr>
        <w:t>）</w:t>
      </w:r>
      <w:r>
        <w:rPr>
          <w:rFonts w:hint="eastAsia" w:cs="宋体" w:asciiTheme="minorEastAsia" w:hAnsiTheme="minorEastAsia" w:eastAsiaTheme="minorEastAsia"/>
          <w:b w:val="0"/>
          <w:bCs w:val="0"/>
          <w:color w:val="auto"/>
          <w:szCs w:val="21"/>
          <w:highlight w:val="none"/>
        </w:rPr>
        <w:t>投标人提供自招标公告发布之日起至投标截止日内任意时间的“信用中国”网站（www.creditchina.gov.cn）、中国政府采购网（www.ccgp.gov.cn）投标人信用查询网页截图。（最终以投标截止当日采购代理机构查询结果为准）；</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val="en-US" w:eastAsia="zh-CN"/>
        </w:rPr>
        <w:t>6</w:t>
      </w:r>
      <w:r>
        <w:rPr>
          <w:rFonts w:hint="eastAsia" w:cs="宋体" w:asciiTheme="minorEastAsia" w:hAnsiTheme="minorEastAsia" w:eastAsiaTheme="minorEastAsia"/>
          <w:b w:val="0"/>
          <w:bCs w:val="0"/>
          <w:color w:val="auto"/>
          <w:szCs w:val="21"/>
          <w:highlight w:val="none"/>
        </w:rPr>
        <w:t>）法定代表人证明书，法定代表人授权书（法定代表人参加投标的无须提供）、授权委托人身份证复印件、授权委托人社保证明（被委托人必须为本单位在职员工，并提供至少开标前一个月的社保证明）；本项不作为资格证明文件审查内容。</w:t>
      </w:r>
    </w:p>
    <w:p>
      <w:pPr>
        <w:pStyle w:val="13"/>
        <w:spacing w:line="360" w:lineRule="auto"/>
        <w:ind w:firstLine="420" w:firstLineChars="200"/>
        <w:rPr>
          <w:rFonts w:asciiTheme="minorEastAsia" w:hAnsiTheme="minorEastAsia" w:eastAsiaTheme="minorEastAsia"/>
          <w:b w:val="0"/>
          <w:bCs w:val="0"/>
          <w:color w:val="auto"/>
          <w:highlight w:val="none"/>
        </w:rPr>
      </w:pPr>
      <w:r>
        <w:rPr>
          <w:rFonts w:hint="eastAsia" w:asciiTheme="minorEastAsia" w:hAnsiTheme="minorEastAsia" w:eastAsiaTheme="minorEastAsia"/>
          <w:b w:val="0"/>
          <w:bCs w:val="0"/>
          <w:color w:val="auto"/>
          <w:highlight w:val="none"/>
        </w:rPr>
        <w:t>（</w:t>
      </w:r>
      <w:r>
        <w:rPr>
          <w:rFonts w:hint="eastAsia" w:asciiTheme="minorEastAsia" w:hAnsiTheme="minorEastAsia" w:eastAsiaTheme="minorEastAsia"/>
          <w:b w:val="0"/>
          <w:bCs w:val="0"/>
          <w:color w:val="auto"/>
          <w:highlight w:val="none"/>
          <w:lang w:val="en-US" w:eastAsia="zh-CN"/>
        </w:rPr>
        <w:t>7</w:t>
      </w:r>
      <w:r>
        <w:rPr>
          <w:rFonts w:hint="eastAsia" w:asciiTheme="minorEastAsia" w:hAnsiTheme="minorEastAsia" w:eastAsiaTheme="minorEastAsia"/>
          <w:b w:val="0"/>
          <w:bCs w:val="0"/>
          <w:color w:val="auto"/>
          <w:highlight w:val="none"/>
        </w:rPr>
        <w:t>）提供招标公告中符合投标人特定条件要求的有效的其他资质复印件并加盖公司公章及需要说明的资料；</w:t>
      </w:r>
    </w:p>
    <w:p>
      <w:pPr>
        <w:pStyle w:val="13"/>
        <w:spacing w:line="360" w:lineRule="auto"/>
        <w:ind w:firstLine="422" w:firstLineChars="200"/>
        <w:rPr>
          <w:rFonts w:asciiTheme="minorEastAsia" w:hAnsiTheme="minorEastAsia" w:eastAsiaTheme="minorEastAsia"/>
          <w:b/>
          <w:bCs/>
          <w:color w:val="auto"/>
          <w:highlight w:val="none"/>
        </w:rPr>
      </w:pPr>
    </w:p>
    <w:p>
      <w:pPr>
        <w:pStyle w:val="13"/>
        <w:spacing w:line="360" w:lineRule="auto"/>
        <w:ind w:firstLine="420" w:firstLineChars="200"/>
        <w:rPr>
          <w:rFonts w:asciiTheme="minorEastAsia" w:hAnsiTheme="minorEastAsia" w:eastAsiaTheme="minorEastAsia"/>
          <w:b w:val="0"/>
          <w:bCs w:val="0"/>
          <w:color w:val="auto"/>
          <w:highlight w:val="none"/>
        </w:rPr>
      </w:pPr>
      <w:r>
        <w:rPr>
          <w:rFonts w:hint="eastAsia" w:asciiTheme="minorEastAsia" w:hAnsiTheme="minorEastAsia" w:eastAsiaTheme="minorEastAsia"/>
          <w:b w:val="0"/>
          <w:bCs w:val="0"/>
          <w:color w:val="auto"/>
          <w:highlight w:val="none"/>
        </w:rPr>
        <w:t>（</w:t>
      </w:r>
      <w:r>
        <w:rPr>
          <w:rFonts w:hint="eastAsia" w:asciiTheme="minorEastAsia" w:hAnsiTheme="minorEastAsia" w:eastAsiaTheme="minorEastAsia"/>
          <w:b w:val="0"/>
          <w:bCs w:val="0"/>
          <w:color w:val="auto"/>
          <w:highlight w:val="none"/>
          <w:lang w:val="en-US" w:eastAsia="zh-CN"/>
        </w:rPr>
        <w:t>8</w:t>
      </w:r>
      <w:r>
        <w:rPr>
          <w:rFonts w:hint="eastAsia" w:asciiTheme="minorEastAsia" w:hAnsiTheme="minorEastAsia" w:eastAsiaTheme="minorEastAsia"/>
          <w:b w:val="0"/>
          <w:bCs w:val="0"/>
          <w:color w:val="auto"/>
          <w:highlight w:val="none"/>
        </w:rPr>
        <w:t>）联合投标协议书（联合体适用）；</w:t>
      </w:r>
    </w:p>
    <w:p>
      <w:pPr>
        <w:pStyle w:val="6"/>
        <w:rPr>
          <w:color w:val="auto"/>
        </w:rPr>
      </w:pPr>
      <w:r>
        <w:rPr>
          <w:rFonts w:hint="eastAsia"/>
          <w:color w:val="auto"/>
        </w:rPr>
        <w:t>2.2报价文件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投标人的报价文件包括以下内容（均需加盖公章）：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（1）投标函；</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（2）开标一览表；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（3）投标报价明细表；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（4）包括但不限于以上文件资料。</w:t>
      </w:r>
    </w:p>
    <w:p>
      <w:pPr>
        <w:pStyle w:val="6"/>
        <w:rPr>
          <w:color w:val="auto"/>
        </w:rPr>
      </w:pPr>
      <w:r>
        <w:rPr>
          <w:rFonts w:hint="eastAsia"/>
          <w:color w:val="auto"/>
        </w:rPr>
        <w:t>2.3商务技术文件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投标人的商务文件包括以下内容（均需加盖公章）：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）政府采购诚信承诺书；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）投标人简介；</w:t>
      </w:r>
    </w:p>
    <w:p>
      <w:pPr>
        <w:pStyle w:val="2"/>
        <w:spacing w:after="0" w:line="360" w:lineRule="auto"/>
        <w:ind w:firstLineChars="200"/>
        <w:rPr>
          <w:rFonts w:asciiTheme="minorEastAsia" w:hAnsiTheme="minorEastAsia" w:eastAsiaTheme="minorEastAsia"/>
          <w:color w:val="auto"/>
        </w:rPr>
      </w:pPr>
      <w:bookmarkStart w:id="118" w:name="_Hlk8682768"/>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）中小企业声明函</w:t>
      </w:r>
      <w:r>
        <w:rPr>
          <w:rFonts w:hint="eastAsia" w:asciiTheme="minorEastAsia" w:hAnsiTheme="minorEastAsia" w:eastAsiaTheme="minorEastAsia"/>
          <w:color w:val="auto"/>
        </w:rPr>
        <w:t>（如有）</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已正式加入浙江政府采购网供应商库的页面查询结果截图（如有）。</w:t>
      </w:r>
    </w:p>
    <w:bookmarkEnd w:id="118"/>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）监狱企业、残疾人福利企业声明函（如有）；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（5）技术条款偏离表（针对招标文件第二章内容逐条填写）；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（6）商务条款偏离表（针对招标文件第三章内容逐条填写）；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（7）投标人业绩情况一览表及业绩证明材料（按第六章评分办法要求提供）；</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（8）招标文件第六章评分细则中涉及的相关内容描述；</w:t>
      </w:r>
    </w:p>
    <w:p>
      <w:pPr>
        <w:ind w:firstLine="420"/>
        <w:rPr>
          <w:rFonts w:cs="宋体" w:asciiTheme="minorEastAsia" w:hAnsiTheme="minorEastAsia" w:eastAsiaTheme="minorEastAsia"/>
          <w:color w:val="auto"/>
          <w:szCs w:val="21"/>
        </w:rPr>
      </w:pPr>
      <w:bookmarkStart w:id="119" w:name="_Hlk8684997"/>
      <w:r>
        <w:rPr>
          <w:rFonts w:hint="eastAsia" w:cs="宋体" w:asciiTheme="minorEastAsia" w:hAnsiTheme="minorEastAsia" w:eastAsiaTheme="minorEastAsia"/>
          <w:color w:val="auto"/>
          <w:szCs w:val="21"/>
        </w:rPr>
        <w:t>（9）投标产品环境标志产品认证证书（如有）；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（10）投标产品节能产品认证证书（如有）；</w:t>
      </w:r>
    </w:p>
    <w:bookmarkEnd w:id="119"/>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（11）投标产品介绍（其中宣传册、彩页等应与标书装订在一起），投标产品有关证书及投标产品业绩；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设备名称、配置、数量；所投标的设备的完整配置方案，详细列明投标设备的所有技术指标（包括所投标设备的品牌、规格型号、详细配置、主要技术参数、随机软件等），明确表述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）针对本项目的详细实施计划，包括供货、验货、安装调试、运行维护等内容；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）消耗品购买价格清单；</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）备品备件清单；</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）培训计划；</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rPr>
        <w:t>）项目验收方案，验收后的维护及售后服务方案；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8</w:t>
      </w:r>
      <w:r>
        <w:rPr>
          <w:rFonts w:hint="eastAsia" w:cs="宋体" w:asciiTheme="minorEastAsia" w:hAnsiTheme="minorEastAsia" w:eastAsiaTheme="minorEastAsia"/>
          <w:color w:val="auto"/>
          <w:szCs w:val="21"/>
        </w:rPr>
        <w:t>）优惠条件及特殊承诺；</w:t>
      </w:r>
    </w:p>
    <w:p>
      <w:pPr>
        <w:ind w:firstLine="42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9</w:t>
      </w:r>
      <w:r>
        <w:rPr>
          <w:rFonts w:hint="eastAsia" w:cs="宋体" w:asciiTheme="minorEastAsia" w:hAnsiTheme="minorEastAsia" w:eastAsiaTheme="minorEastAsia"/>
          <w:color w:val="auto"/>
          <w:szCs w:val="21"/>
        </w:rPr>
        <w:t>）</w:t>
      </w:r>
      <w:r>
        <w:rPr>
          <w:rFonts w:hint="eastAsia" w:asciiTheme="minorEastAsia" w:hAnsiTheme="minorEastAsia" w:eastAsiaTheme="minorEastAsia"/>
          <w:b/>
          <w:color w:val="auto"/>
          <w:szCs w:val="21"/>
        </w:rPr>
        <w:t>★</w:t>
      </w:r>
      <w:r>
        <w:rPr>
          <w:rFonts w:hint="eastAsia" w:cs="宋体" w:asciiTheme="minorEastAsia" w:hAnsiTheme="minorEastAsia" w:eastAsiaTheme="minorEastAsia"/>
          <w:color w:val="auto"/>
          <w:szCs w:val="21"/>
          <w:lang w:eastAsia="zh-CN"/>
        </w:rPr>
        <w:t>进口产品提供代理证明；</w:t>
      </w:r>
    </w:p>
    <w:p>
      <w:pPr>
        <w:ind w:firstLine="420"/>
        <w:rPr>
          <w:rFonts w:ascii="Times New Roman" w:hAnsi="Times New Roman"/>
          <w:color w:val="auto"/>
        </w:rPr>
      </w:pP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20</w:t>
      </w:r>
      <w:r>
        <w:rPr>
          <w:rFonts w:hint="eastAsia" w:cs="宋体" w:asciiTheme="minorEastAsia" w:hAnsiTheme="minorEastAsia" w:eastAsiaTheme="minorEastAsia"/>
          <w:color w:val="auto"/>
          <w:szCs w:val="21"/>
          <w:lang w:eastAsia="zh-CN"/>
        </w:rPr>
        <w:t>）</w:t>
      </w:r>
      <w:r>
        <w:rPr>
          <w:rFonts w:hint="eastAsia" w:asciiTheme="minorEastAsia" w:hAnsiTheme="minorEastAsia" w:eastAsiaTheme="minorEastAsia"/>
          <w:b/>
          <w:color w:val="auto"/>
          <w:szCs w:val="21"/>
        </w:rPr>
        <w:t>★</w:t>
      </w:r>
      <w:r>
        <w:rPr>
          <w:rFonts w:ascii="Times New Roman" w:hAnsi="Times New Roman"/>
          <w:color w:val="auto"/>
        </w:rPr>
        <w:t>食品药品监督管理部门核发的完整有效的医疗器械注册或备案证明；（适用于按医疗器械管理的设备）</w:t>
      </w:r>
    </w:p>
    <w:p>
      <w:pPr>
        <w:ind w:firstLine="420"/>
        <w:rPr>
          <w:rFonts w:hint="eastAsia" w:cs="宋体" w:asciiTheme="minorEastAsia" w:hAnsiTheme="minorEastAsia" w:eastAsiaTheme="minorEastAsia"/>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21</w:t>
      </w:r>
      <w:r>
        <w:rPr>
          <w:rFonts w:hint="eastAsia" w:ascii="宋体" w:hAnsi="宋体" w:eastAsia="宋体" w:cs="宋体"/>
          <w:color w:val="auto"/>
          <w:lang w:eastAsia="zh-CN"/>
        </w:rPr>
        <w:t>）</w:t>
      </w:r>
      <w:r>
        <w:rPr>
          <w:rFonts w:hint="eastAsia" w:cs="宋体" w:asciiTheme="minorEastAsia" w:hAnsiTheme="minorEastAsia" w:eastAsiaTheme="minorEastAsia"/>
          <w:color w:val="auto"/>
          <w:szCs w:val="21"/>
        </w:rPr>
        <w:t>包括但不限于以上技术文件或说明。</w:t>
      </w:r>
    </w:p>
    <w:p>
      <w:pPr>
        <w:pStyle w:val="2"/>
        <w:ind w:firstLine="210"/>
        <w:rPr>
          <w:color w:val="auto"/>
        </w:rPr>
      </w:pP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以上所需的各种证书、证件、证明、证照均应有效，若系复印件，须在复印件上加盖供应商公章。</w:t>
      </w:r>
      <w:r>
        <w:rPr>
          <w:rFonts w:hint="eastAsia" w:asciiTheme="minorEastAsia" w:hAnsiTheme="minorEastAsia" w:eastAsiaTheme="minorEastAsia"/>
          <w:b/>
          <w:color w:val="auto"/>
          <w:szCs w:val="21"/>
        </w:rPr>
        <w:t>以“★”号标明</w:t>
      </w:r>
      <w:r>
        <w:rPr>
          <w:rFonts w:hint="eastAsia" w:asciiTheme="minorEastAsia" w:hAnsiTheme="minorEastAsia" w:eastAsiaTheme="minorEastAsia"/>
          <w:b/>
          <w:color w:val="auto"/>
          <w:szCs w:val="21"/>
          <w:lang w:eastAsia="zh-CN"/>
        </w:rPr>
        <w:t>的</w:t>
      </w:r>
      <w:r>
        <w:rPr>
          <w:rFonts w:hint="eastAsia" w:asciiTheme="minorEastAsia" w:hAnsiTheme="minorEastAsia" w:eastAsiaTheme="minorEastAsia"/>
          <w:b/>
          <w:color w:val="auto"/>
          <w:szCs w:val="21"/>
        </w:rPr>
        <w:t>，如投标人未响应的，将被视为无效投标。</w:t>
      </w:r>
    </w:p>
    <w:p>
      <w:pPr>
        <w:pStyle w:val="5"/>
        <w:rPr>
          <w:rFonts w:cs="宋体" w:asciiTheme="minorEastAsia" w:hAnsiTheme="minorEastAsia" w:eastAsiaTheme="minorEastAsia"/>
          <w:color w:val="auto"/>
          <w:szCs w:val="21"/>
        </w:rPr>
      </w:pPr>
      <w:bookmarkStart w:id="120" w:name="_Toc25860"/>
      <w:r>
        <w:rPr>
          <w:rFonts w:hint="eastAsia" w:cs="宋体" w:asciiTheme="minorEastAsia" w:hAnsiTheme="minorEastAsia" w:eastAsiaTheme="minorEastAsia"/>
          <w:color w:val="auto"/>
          <w:szCs w:val="21"/>
        </w:rPr>
        <w:t>3投标文件编制格式及规范要求</w:t>
      </w:r>
      <w:bookmarkEnd w:id="120"/>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见后附投标文件编制格式及规范要求。</w:t>
      </w:r>
      <w:r>
        <w:rPr>
          <w:rFonts w:hint="eastAsia" w:cs="宋体" w:asciiTheme="minorEastAsia" w:hAnsiTheme="minorEastAsia" w:eastAsiaTheme="minorEastAsia"/>
          <w:color w:val="auto"/>
          <w:szCs w:val="21"/>
        </w:rPr>
        <w:br w:type="page"/>
      </w:r>
    </w:p>
    <w:p>
      <w:pPr>
        <w:ind w:firstLine="0" w:firstLineChars="0"/>
        <w:jc w:val="left"/>
        <w:rPr>
          <w:rFonts w:cs="宋体" w:asciiTheme="minorEastAsia" w:hAnsiTheme="minorEastAsia" w:eastAsiaTheme="minorEastAsia"/>
          <w:b/>
          <w:bCs/>
          <w:color w:val="auto"/>
          <w:sz w:val="48"/>
          <w:szCs w:val="48"/>
        </w:rPr>
      </w:pPr>
      <w:r>
        <w:rPr>
          <w:rFonts w:cs="宋体" w:asciiTheme="minorEastAsia" w:hAnsiTheme="minorEastAsia" w:eastAsiaTheme="minorEastAsia"/>
          <w:color w:val="auto"/>
          <w:szCs w:val="21"/>
        </w:rPr>
        <mc:AlternateContent>
          <mc:Choice Requires="wps">
            <w:drawing>
              <wp:anchor distT="0" distB="0" distL="114300" distR="114300" simplePos="0" relativeHeight="251656192" behindDoc="1" locked="0" layoutInCell="1" allowOverlap="1">
                <wp:simplePos x="0" y="0"/>
                <wp:positionH relativeFrom="column">
                  <wp:posOffset>4506595</wp:posOffset>
                </wp:positionH>
                <wp:positionV relativeFrom="paragraph">
                  <wp:posOffset>104775</wp:posOffset>
                </wp:positionV>
                <wp:extent cx="1388745" cy="356870"/>
                <wp:effectExtent l="4445" t="4445" r="16510" b="19685"/>
                <wp:wrapNone/>
                <wp:docPr id="1" name="文本框 2"/>
                <wp:cNvGraphicFramePr/>
                <a:graphic xmlns:a="http://schemas.openxmlformats.org/drawingml/2006/main">
                  <a:graphicData uri="http://schemas.microsoft.com/office/word/2010/wordprocessingShape">
                    <wps:wsp>
                      <wps:cNvSpPr txBox="1"/>
                      <wps:spPr>
                        <a:xfrm>
                          <a:off x="0" y="0"/>
                          <a:ext cx="1388745" cy="3568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sz w:val="32"/>
                                <w:szCs w:val="32"/>
                              </w:rPr>
                            </w:pPr>
                            <w:r>
                              <w:rPr>
                                <w:rFonts w:hint="eastAsia"/>
                                <w:sz w:val="32"/>
                              </w:rPr>
                              <w:t>正本（</w:t>
                            </w:r>
                            <w:r>
                              <w:rPr>
                                <w:rFonts w:hint="eastAsia"/>
                                <w:sz w:val="32"/>
                                <w:szCs w:val="32"/>
                              </w:rPr>
                              <w:t>副本）</w:t>
                            </w:r>
                          </w:p>
                        </w:txbxContent>
                      </wps:txbx>
                      <wps:bodyPr upright="1">
                        <a:noAutofit/>
                      </wps:bodyPr>
                    </wps:wsp>
                  </a:graphicData>
                </a:graphic>
              </wp:anchor>
            </w:drawing>
          </mc:Choice>
          <mc:Fallback>
            <w:pict>
              <v:shape id="文本框 2" o:spid="_x0000_s1026" o:spt="202" type="#_x0000_t202" style="position:absolute;left:0pt;margin-left:354.85pt;margin-top:8.25pt;height:28.1pt;width:109.35pt;z-index:-251660288;mso-width-relative:page;mso-height-relative:page;" fillcolor="#FFFFFF" filled="t" stroked="t" coordsize="21600,21600" o:gfxdata="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KQXVdcAAAAJAQAADwAAAAAAAAABACAAAAAiAAAAZHJzL2Rv&#10;d25yZXYueG1sUEsBAhQAFAAAAAgAh07iQKgXrCMCAgAAEAQAAA4AAAAAAAAAAQAgAAAAJgEAAGRy&#10;cy9lMm9Eb2MueG1sUEsFBgAAAAAGAAYAWQEAAJoFAAAAAA==&#10;">
                <v:fill on="t" focussize="0,0"/>
                <v:stroke color="#000000" joinstyle="miter"/>
                <v:imagedata o:title=""/>
                <o:lock v:ext="edit" aspectratio="f"/>
                <v:textbox>
                  <w:txbxContent>
                    <w:p>
                      <w:pPr>
                        <w:ind w:firstLine="0" w:firstLineChars="0"/>
                        <w:rPr>
                          <w:sz w:val="32"/>
                          <w:szCs w:val="32"/>
                        </w:rPr>
                      </w:pPr>
                      <w:r>
                        <w:rPr>
                          <w:rFonts w:hint="eastAsia"/>
                          <w:sz w:val="32"/>
                        </w:rPr>
                        <w:t>正本（</w:t>
                      </w:r>
                      <w:r>
                        <w:rPr>
                          <w:rFonts w:hint="eastAsia"/>
                          <w:sz w:val="32"/>
                          <w:szCs w:val="32"/>
                        </w:rPr>
                        <w:t>副本）</w:t>
                      </w:r>
                    </w:p>
                  </w:txbxContent>
                </v:textbox>
              </v:shape>
            </w:pict>
          </mc:Fallback>
        </mc:AlternateConten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浙江康复医院</w: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检验科设备、天轨康复训练系统</w:t>
      </w:r>
    </w:p>
    <w:p>
      <w:pPr>
        <w:pStyle w:val="2"/>
        <w:ind w:firstLine="210"/>
        <w:rPr>
          <w:rFonts w:asciiTheme="minorEastAsia" w:hAnsiTheme="minorEastAsia" w:eastAsiaTheme="minorEastAsia"/>
          <w:color w:val="auto"/>
        </w:rPr>
      </w:pPr>
    </w:p>
    <w:p>
      <w:pPr>
        <w:ind w:firstLine="964"/>
        <w:jc w:val="center"/>
        <w:rPr>
          <w:rFonts w:cs="宋体" w:asciiTheme="minorEastAsia" w:hAnsiTheme="minorEastAsia" w:eastAsiaTheme="minorEastAsia"/>
          <w:b/>
          <w:bCs/>
          <w:color w:val="auto"/>
          <w:sz w:val="48"/>
          <w:szCs w:val="4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投标文件</w:t>
      </w:r>
    </w:p>
    <w:p>
      <w:pPr>
        <w:snapToGrid w:val="0"/>
        <w:ind w:firstLine="0" w:firstLineChars="0"/>
        <w:jc w:val="center"/>
        <w:rPr>
          <w:rFonts w:cs="宋体" w:asciiTheme="minorEastAsia" w:hAnsiTheme="minorEastAsia" w:eastAsiaTheme="minorEastAsia"/>
          <w:b/>
          <w:color w:val="auto"/>
          <w:sz w:val="44"/>
          <w:szCs w:val="44"/>
        </w:rPr>
      </w:pPr>
      <w:r>
        <w:rPr>
          <w:rFonts w:hint="eastAsia" w:cs="宋体" w:asciiTheme="minorEastAsia" w:hAnsiTheme="minorEastAsia" w:eastAsiaTheme="minorEastAsia"/>
          <w:b/>
          <w:color w:val="auto"/>
          <w:sz w:val="44"/>
          <w:szCs w:val="44"/>
        </w:rPr>
        <w:t>（资格证明文件/报价文件/商务技术文件）</w:t>
      </w:r>
    </w:p>
    <w:p>
      <w:pPr>
        <w:snapToGrid w:val="0"/>
        <w:ind w:firstLine="0" w:firstLineChars="0"/>
        <w:rPr>
          <w:rFonts w:cs="宋体" w:asciiTheme="minorEastAsia" w:hAnsiTheme="minorEastAsia" w:eastAsiaTheme="minorEastAsia"/>
          <w:b/>
          <w:color w:val="auto"/>
          <w:sz w:val="36"/>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szCs w:val="21"/>
        </w:rPr>
      </w:pPr>
    </w:p>
    <w:p>
      <w:pPr>
        <w:snapToGrid w:val="0"/>
        <w:ind w:firstLine="0" w:firstLineChars="0"/>
        <w:rPr>
          <w:rFonts w:cs="宋体" w:asciiTheme="minorEastAsia" w:hAnsiTheme="minorEastAsia" w:eastAsiaTheme="minorEastAsia"/>
          <w:b/>
          <w:color w:val="auto"/>
          <w:szCs w:val="21"/>
        </w:rPr>
      </w:pPr>
    </w:p>
    <w:p>
      <w:pPr>
        <w:pStyle w:val="2"/>
        <w:ind w:firstLine="210"/>
        <w:rPr>
          <w:rFonts w:asciiTheme="minorEastAsia" w:hAnsiTheme="minorEastAsia" w:eastAsiaTheme="minorEastAsia"/>
          <w:color w:val="auto"/>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检验科设备、天轨康复训练系统</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浙财采确【2019】37854号、39726号</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ZJXL-MZKF-201902</w:t>
      </w:r>
      <w:r>
        <w:rPr>
          <w:rFonts w:hint="eastAsia" w:cs="宋体" w:asciiTheme="minorEastAsia" w:hAnsiTheme="minorEastAsia" w:eastAsiaTheme="minorEastAsia"/>
          <w:color w:val="auto"/>
          <w:sz w:val="28"/>
          <w:szCs w:val="28"/>
        </w:rPr>
        <w:t xml:space="preserve">  </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浙江康复医院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投 标 人：</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 xml:space="preserve">期：     年  月 </w:t>
      </w:r>
      <w:r>
        <w:rPr>
          <w:rFonts w:hint="eastAsia" w:cs="宋体" w:asciiTheme="minorEastAsia" w:hAnsiTheme="minorEastAsia" w:eastAsiaTheme="minorEastAsia"/>
          <w:color w:val="auto"/>
          <w:sz w:val="28"/>
          <w:szCs w:val="28"/>
        </w:rPr>
        <w:br w:type="page"/>
      </w:r>
    </w:p>
    <w:p>
      <w:pPr>
        <w:pStyle w:val="6"/>
        <w:rPr>
          <w:color w:val="auto"/>
        </w:rPr>
      </w:pPr>
      <w:r>
        <w:rPr>
          <w:rFonts w:hint="eastAsia"/>
          <w:color w:val="auto"/>
        </w:rPr>
        <w:t>附件一 投标函</w:t>
      </w:r>
    </w:p>
    <w:p>
      <w:pPr>
        <w:ind w:firstLine="420"/>
        <w:rPr>
          <w:rFonts w:asciiTheme="minorEastAsia" w:hAnsiTheme="minorEastAsia" w:eastAsiaTheme="minorEastAsia"/>
          <w:color w:val="auto"/>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投标函</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浙江康复医院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（职务、职称）为授权委托人，参加贵方组织的</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（项目名称）采购编号：（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）采购的有关活动，并对此项目进行投标。为此：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已收到贵方的上述招标文件，遵照《中华人民共和国政府采购法》等有关规定，我单位经研究上述招标文件的投标人须知、采购项目技术要求、采购项目商务要求、合同条款及其他招标文件的有关内容后，我方愿以人民币（大写）</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元（RMB：</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元）的投标总报价参与本项目的竞标。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2、我方同意在投标人须知前附表规定的开标日期起遵守本投标文件中的承诺且在投标有效期满之前均具有约束力。</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3、我方承诺已经具备《中华人民共和国政府采购法》中第二十二条相关规定的参加政府采购活动的投标人应当具备的条件。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4、编制和提交招标文件规定的全部投标文件，包括投标文件正本1份，副本  份。具体内容为：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4.1资格证明文件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5、我方承诺在确认中标后5日内支付招标代理服务费。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6、我方完全理解贵方不一定要接受最低价的投标。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7、我方愿意向贵方提供任何与该项投标有关的数据、情况和技术资料。若贵方需要，我方愿意提供我方作出的一切承诺的证明材料。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8、我方已详细审核全部招标文件，包括招标文件的澄清或修改（如有的话）、参考资料及有关附件，确认无异议。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9.1提供虚假材料谋取中标、成交的；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9.2采取不正当手段诋毁、排挤其他投标人的；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9.3与采购人、其它投标人或者采购代理机构恶意串通的；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9.4向采购人、采购代理机构行贿或者提供其他不正当利益的；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9.5在招标采购过程中与采购人进行协商谈判的；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9.6拒绝有关部门监督检查或提供虚假情况的。</w:t>
      </w:r>
    </w:p>
    <w:p>
      <w:pPr>
        <w:ind w:firstLine="409" w:firstLineChars="195"/>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投标人有前款第9.1至9.5项情形之一的,中标、成交无效。</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法人代表签字或盖章：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联系人：               联系电话：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联系地址：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邮政编码：             传真号码：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注：未按照本投标函要求填报的将被视为非实质性响应投标，从而可能导致该投标被拒绝。</w:t>
      </w:r>
    </w:p>
    <w:p>
      <w:pPr>
        <w:pStyle w:val="6"/>
        <w:rPr>
          <w:rFonts w:hint="eastAsia" w:eastAsiaTheme="minorEastAsia"/>
          <w:color w:val="auto"/>
          <w:lang w:eastAsia="zh-CN"/>
        </w:rPr>
      </w:pPr>
      <w:r>
        <w:rPr>
          <w:rFonts w:hint="eastAsia"/>
          <w:color w:val="auto"/>
        </w:rPr>
        <w:br w:type="page"/>
      </w:r>
      <w:r>
        <w:rPr>
          <w:rFonts w:hint="eastAsia"/>
          <w:color w:val="auto"/>
        </w:rPr>
        <w:t>附件二 开标一览表</w:t>
      </w:r>
    </w:p>
    <w:p>
      <w:pPr>
        <w:pStyle w:val="2"/>
        <w:ind w:firstLine="0" w:firstLineChars="0"/>
        <w:jc w:val="center"/>
        <w:rPr>
          <w:rFonts w:hint="eastAsia" w:ascii="宋体" w:hAnsi="宋体" w:eastAsia="宋体"/>
          <w:b/>
          <w:color w:val="auto"/>
          <w:sz w:val="32"/>
          <w:szCs w:val="32"/>
          <w:lang w:eastAsia="zh-CN"/>
        </w:rPr>
      </w:pPr>
    </w:p>
    <w:p>
      <w:pPr>
        <w:pStyle w:val="2"/>
        <w:ind w:firstLine="0" w:firstLineChars="0"/>
        <w:jc w:val="center"/>
        <w:rPr>
          <w:rFonts w:ascii="宋体" w:hAnsi="宋体" w:eastAsia="宋体"/>
          <w:b/>
          <w:color w:val="auto"/>
          <w:sz w:val="32"/>
          <w:szCs w:val="32"/>
        </w:rPr>
      </w:pPr>
      <w:r>
        <w:rPr>
          <w:rFonts w:hint="eastAsia" w:ascii="宋体" w:hAnsi="宋体" w:eastAsia="宋体"/>
          <w:b/>
          <w:color w:val="auto"/>
          <w:sz w:val="32"/>
          <w:szCs w:val="32"/>
          <w:lang w:eastAsia="zh-CN"/>
        </w:rPr>
        <w:t>开标</w:t>
      </w:r>
      <w:r>
        <w:rPr>
          <w:rFonts w:hint="eastAsia" w:ascii="宋体" w:hAnsi="宋体" w:eastAsia="宋体"/>
          <w:b/>
          <w:color w:val="auto"/>
          <w:sz w:val="32"/>
          <w:szCs w:val="32"/>
        </w:rPr>
        <w:t>一览表</w:t>
      </w:r>
    </w:p>
    <w:p>
      <w:pPr>
        <w:pStyle w:val="2"/>
        <w:ind w:firstLine="210"/>
        <w:rPr>
          <w:rFonts w:ascii="宋体" w:hAnsi="宋体" w:eastAsia="宋体"/>
          <w:color w:val="auto"/>
        </w:rPr>
      </w:pPr>
    </w:p>
    <w:p>
      <w:pPr>
        <w:adjustRightInd w:val="0"/>
        <w:snapToGrid w:val="0"/>
        <w:ind w:firstLine="0" w:firstLineChars="0"/>
        <w:rPr>
          <w:rFonts w:ascii="宋体" w:hAnsi="宋体" w:eastAsia="宋体" w:cs="宋体"/>
          <w:color w:val="auto"/>
          <w:szCs w:val="21"/>
        </w:rPr>
      </w:pPr>
      <w:r>
        <w:rPr>
          <w:rFonts w:hint="eastAsia" w:ascii="宋体" w:hAnsi="宋体" w:eastAsia="宋体" w:cs="宋体"/>
          <w:color w:val="auto"/>
          <w:spacing w:val="20"/>
          <w:szCs w:val="21"/>
        </w:rPr>
        <w:t xml:space="preserve">项目名称：                                 </w:t>
      </w:r>
      <w:r>
        <w:rPr>
          <w:rFonts w:hint="eastAsia" w:ascii="宋体" w:hAnsi="宋体" w:cs="宋体"/>
          <w:color w:val="auto"/>
          <w:spacing w:val="20"/>
          <w:szCs w:val="21"/>
          <w:lang w:eastAsia="zh-CN"/>
        </w:rPr>
        <w:t>招标</w:t>
      </w:r>
      <w:r>
        <w:rPr>
          <w:rFonts w:hint="eastAsia" w:ascii="宋体" w:hAnsi="宋体" w:eastAsia="宋体" w:cs="宋体"/>
          <w:color w:val="auto"/>
          <w:spacing w:val="20"/>
          <w:szCs w:val="21"/>
        </w:rPr>
        <w:t xml:space="preserve">编号：            </w:t>
      </w:r>
    </w:p>
    <w:tbl>
      <w:tblPr>
        <w:tblStyle w:val="26"/>
        <w:tblW w:w="10373" w:type="dxa"/>
        <w:jc w:val="center"/>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2477"/>
        <w:gridCol w:w="1991"/>
        <w:gridCol w:w="1977"/>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4" w:hRule="atLeast"/>
          <w:jc w:val="center"/>
        </w:trPr>
        <w:tc>
          <w:tcPr>
            <w:tcW w:w="1623" w:type="dxa"/>
            <w:vAlign w:val="center"/>
          </w:tcPr>
          <w:p>
            <w:pPr>
              <w:pStyle w:val="10"/>
              <w:ind w:firstLine="0" w:firstLineChars="0"/>
              <w:jc w:val="center"/>
              <w:rPr>
                <w:rFonts w:ascii="宋体" w:hAnsi="宋体" w:eastAsia="宋体"/>
                <w:color w:val="auto"/>
                <w:sz w:val="21"/>
                <w:szCs w:val="21"/>
              </w:rPr>
            </w:pPr>
            <w:r>
              <w:rPr>
                <w:rFonts w:hint="eastAsia" w:ascii="宋体" w:hAnsi="宋体" w:eastAsia="宋体"/>
                <w:color w:val="auto"/>
                <w:sz w:val="21"/>
                <w:szCs w:val="21"/>
              </w:rPr>
              <w:t>项目（标段号）名称</w:t>
            </w:r>
          </w:p>
        </w:tc>
        <w:tc>
          <w:tcPr>
            <w:tcW w:w="2477" w:type="dxa"/>
            <w:vAlign w:val="center"/>
          </w:tcPr>
          <w:p>
            <w:pPr>
              <w:pStyle w:val="10"/>
              <w:ind w:firstLine="0" w:firstLineChars="0"/>
              <w:jc w:val="center"/>
              <w:rPr>
                <w:rFonts w:ascii="宋体" w:hAnsi="宋体" w:eastAsia="宋体"/>
                <w:color w:val="auto"/>
                <w:sz w:val="21"/>
                <w:szCs w:val="21"/>
              </w:rPr>
            </w:pPr>
            <w:r>
              <w:rPr>
                <w:rFonts w:hint="eastAsia" w:ascii="宋体" w:hAnsi="宋体" w:eastAsia="宋体"/>
                <w:color w:val="auto"/>
                <w:sz w:val="21"/>
                <w:szCs w:val="21"/>
              </w:rPr>
              <w:t>投标报价（元）</w:t>
            </w:r>
          </w:p>
        </w:tc>
        <w:tc>
          <w:tcPr>
            <w:tcW w:w="1991" w:type="dxa"/>
            <w:vAlign w:val="center"/>
          </w:tcPr>
          <w:p>
            <w:pPr>
              <w:pStyle w:val="10"/>
              <w:ind w:firstLine="0" w:firstLineChars="0"/>
              <w:jc w:val="center"/>
              <w:rPr>
                <w:rFonts w:ascii="宋体" w:hAnsi="宋体" w:eastAsia="宋体"/>
                <w:color w:val="auto"/>
                <w:sz w:val="21"/>
                <w:szCs w:val="21"/>
              </w:rPr>
            </w:pPr>
            <w:r>
              <w:rPr>
                <w:rFonts w:hint="eastAsia" w:ascii="宋体" w:hAnsi="宋体" w:eastAsia="宋体"/>
                <w:color w:val="auto"/>
                <w:sz w:val="21"/>
                <w:szCs w:val="21"/>
              </w:rPr>
              <w:t>工期（交货期）</w:t>
            </w:r>
          </w:p>
        </w:tc>
        <w:tc>
          <w:tcPr>
            <w:tcW w:w="1977" w:type="dxa"/>
            <w:vAlign w:val="center"/>
          </w:tcPr>
          <w:p>
            <w:pPr>
              <w:pStyle w:val="10"/>
              <w:ind w:firstLine="0" w:firstLineChars="0"/>
              <w:jc w:val="center"/>
              <w:rPr>
                <w:rFonts w:ascii="宋体" w:hAnsi="宋体" w:eastAsia="宋体"/>
                <w:color w:val="auto"/>
                <w:sz w:val="21"/>
                <w:szCs w:val="21"/>
              </w:rPr>
            </w:pPr>
            <w:r>
              <w:rPr>
                <w:rFonts w:hint="eastAsia" w:ascii="宋体" w:hAnsi="宋体" w:eastAsia="宋体"/>
                <w:color w:val="auto"/>
                <w:sz w:val="21"/>
                <w:szCs w:val="21"/>
              </w:rPr>
              <w:t>质保期</w:t>
            </w:r>
          </w:p>
        </w:tc>
        <w:tc>
          <w:tcPr>
            <w:tcW w:w="2305" w:type="dxa"/>
            <w:vAlign w:val="center"/>
          </w:tcPr>
          <w:p>
            <w:pPr>
              <w:pStyle w:val="10"/>
              <w:ind w:firstLine="0" w:firstLineChars="0"/>
              <w:jc w:val="center"/>
              <w:rPr>
                <w:rFonts w:ascii="宋体" w:hAnsi="宋体" w:eastAsia="宋体"/>
                <w:color w:val="auto"/>
                <w:sz w:val="21"/>
                <w:szCs w:val="21"/>
              </w:rPr>
            </w:pPr>
            <w:r>
              <w:rPr>
                <w:rFonts w:hint="eastAsia" w:ascii="宋体" w:hAnsi="宋体" w:eastAsia="宋体"/>
                <w:color w:val="auto"/>
                <w:sz w:val="21"/>
                <w:szCs w:val="21"/>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4" w:hRule="atLeast"/>
          <w:jc w:val="center"/>
        </w:trPr>
        <w:tc>
          <w:tcPr>
            <w:tcW w:w="1623" w:type="dxa"/>
            <w:vAlign w:val="center"/>
          </w:tcPr>
          <w:p>
            <w:pPr>
              <w:pStyle w:val="10"/>
              <w:jc w:val="center"/>
              <w:rPr>
                <w:rFonts w:ascii="宋体" w:hAnsi="宋体" w:eastAsia="宋体"/>
                <w:color w:val="auto"/>
                <w:sz w:val="21"/>
                <w:szCs w:val="21"/>
              </w:rPr>
            </w:pPr>
          </w:p>
        </w:tc>
        <w:tc>
          <w:tcPr>
            <w:tcW w:w="2477" w:type="dxa"/>
            <w:vAlign w:val="center"/>
          </w:tcPr>
          <w:p>
            <w:pPr>
              <w:pStyle w:val="10"/>
              <w:ind w:firstLine="0" w:firstLineChars="0"/>
              <w:rPr>
                <w:rFonts w:ascii="宋体" w:hAnsi="宋体" w:eastAsia="宋体"/>
                <w:color w:val="auto"/>
                <w:sz w:val="21"/>
                <w:szCs w:val="21"/>
              </w:rPr>
            </w:pPr>
            <w:r>
              <w:rPr>
                <w:rFonts w:hint="eastAsia" w:ascii="宋体" w:hAnsi="宋体" w:eastAsia="宋体"/>
                <w:color w:val="auto"/>
                <w:sz w:val="21"/>
                <w:szCs w:val="21"/>
              </w:rPr>
              <w:t>小写：</w:t>
            </w:r>
          </w:p>
          <w:p>
            <w:pPr>
              <w:pStyle w:val="10"/>
              <w:ind w:firstLine="0" w:firstLineChars="0"/>
              <w:rPr>
                <w:rFonts w:ascii="宋体" w:hAnsi="宋体" w:eastAsia="宋体"/>
                <w:color w:val="auto"/>
                <w:sz w:val="21"/>
                <w:szCs w:val="21"/>
              </w:rPr>
            </w:pPr>
            <w:r>
              <w:rPr>
                <w:rFonts w:hint="eastAsia" w:ascii="宋体" w:hAnsi="宋体" w:eastAsia="宋体"/>
                <w:color w:val="auto"/>
                <w:sz w:val="21"/>
                <w:szCs w:val="21"/>
              </w:rPr>
              <w:t>大写：</w:t>
            </w:r>
          </w:p>
        </w:tc>
        <w:tc>
          <w:tcPr>
            <w:tcW w:w="1991" w:type="dxa"/>
            <w:vAlign w:val="center"/>
          </w:tcPr>
          <w:p>
            <w:pPr>
              <w:ind w:firstLine="420"/>
              <w:jc w:val="center"/>
              <w:rPr>
                <w:rFonts w:ascii="宋体" w:hAnsi="宋体" w:eastAsia="宋体"/>
                <w:color w:val="auto"/>
                <w:szCs w:val="21"/>
              </w:rPr>
            </w:pPr>
          </w:p>
        </w:tc>
        <w:tc>
          <w:tcPr>
            <w:tcW w:w="1977" w:type="dxa"/>
            <w:vAlign w:val="center"/>
          </w:tcPr>
          <w:p>
            <w:pPr>
              <w:ind w:firstLine="420"/>
              <w:jc w:val="center"/>
              <w:rPr>
                <w:rFonts w:ascii="宋体" w:hAnsi="宋体" w:eastAsia="宋体"/>
                <w:color w:val="auto"/>
                <w:szCs w:val="21"/>
              </w:rPr>
            </w:pPr>
          </w:p>
        </w:tc>
        <w:tc>
          <w:tcPr>
            <w:tcW w:w="2305" w:type="dxa"/>
            <w:vAlign w:val="center"/>
          </w:tcPr>
          <w:p>
            <w:pPr>
              <w:ind w:firstLine="420"/>
              <w:jc w:val="center"/>
              <w:rPr>
                <w:rFonts w:ascii="宋体" w:hAnsi="宋体" w:eastAsia="宋体"/>
                <w:color w:val="auto"/>
                <w:szCs w:val="21"/>
              </w:rPr>
            </w:pPr>
          </w:p>
        </w:tc>
      </w:tr>
    </w:tbl>
    <w:p>
      <w:pPr>
        <w:pStyle w:val="13"/>
        <w:snapToGrid w:val="0"/>
        <w:jc w:val="left"/>
        <w:rPr>
          <w:rFonts w:asciiTheme="minorEastAsia" w:hAnsiTheme="minorEastAsia" w:eastAsiaTheme="minorEastAsia"/>
          <w:color w:val="auto"/>
          <w:szCs w:val="21"/>
        </w:rPr>
      </w:pPr>
    </w:p>
    <w:p>
      <w:pPr>
        <w:pStyle w:val="13"/>
        <w:snapToGrid w:val="0"/>
        <w:ind w:firstLine="315" w:firstLineChars="15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注：本表报价应与投标函中投标报价一致。</w:t>
      </w:r>
    </w:p>
    <w:p>
      <w:pPr>
        <w:pStyle w:val="2"/>
        <w:ind w:firstLine="210"/>
        <w:rPr>
          <w:rFonts w:asciiTheme="minorEastAsia" w:hAnsiTheme="minorEastAsia" w:eastAsiaTheme="minorEastAsia"/>
          <w:color w:val="auto"/>
          <w:szCs w:val="21"/>
        </w:rPr>
      </w:pPr>
    </w:p>
    <w:p>
      <w:pPr>
        <w:adjustRightInd w:val="0"/>
        <w:snapToGrid w:val="0"/>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w:t>
      </w:r>
      <w:r>
        <w:rPr>
          <w:rFonts w:hint="eastAsia" w:asciiTheme="minorEastAsia" w:hAnsiTheme="minorEastAsia" w:eastAsiaTheme="minorEastAsia"/>
          <w:color w:val="auto"/>
          <w:szCs w:val="21"/>
        </w:rPr>
        <w:t>全称</w:t>
      </w:r>
      <w:r>
        <w:rPr>
          <w:rFonts w:hint="eastAsia" w:cs="宋体" w:asciiTheme="minorEastAsia" w:hAnsiTheme="minorEastAsia" w:eastAsiaTheme="minorEastAsia"/>
          <w:color w:val="auto"/>
          <w:szCs w:val="21"/>
        </w:rPr>
        <w:t>（公章）：</w:t>
      </w:r>
    </w:p>
    <w:p>
      <w:pPr>
        <w:pStyle w:val="10"/>
        <w:rPr>
          <w:rFonts w:hint="eastAsia" w:cs="宋体" w:asciiTheme="minorEastAsia" w:hAnsiTheme="minorEastAsia" w:eastAsiaTheme="minorEastAsia"/>
          <w:color w:val="auto"/>
          <w:sz w:val="21"/>
          <w:szCs w:val="21"/>
        </w:rPr>
      </w:pPr>
    </w:p>
    <w:p>
      <w:pPr>
        <w:pStyle w:val="1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法定代表人或授权委托人（签字或盖章）：</w:t>
      </w:r>
    </w:p>
    <w:p>
      <w:pPr>
        <w:adjustRightInd w:val="0"/>
        <w:snapToGrid w:val="0"/>
        <w:ind w:firstLine="420"/>
        <w:rPr>
          <w:rFonts w:hint="eastAsia" w:cs="宋体" w:asciiTheme="minorEastAsia" w:hAnsiTheme="minorEastAsia" w:eastAsiaTheme="minorEastAsia"/>
          <w:color w:val="auto"/>
          <w:szCs w:val="21"/>
        </w:rPr>
      </w:pPr>
    </w:p>
    <w:p>
      <w:pPr>
        <w:adjustRightInd w:val="0"/>
        <w:snapToGrid w:val="0"/>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pStyle w:val="2"/>
        <w:ind w:firstLine="0" w:firstLineChars="0"/>
        <w:jc w:val="center"/>
        <w:rPr>
          <w:rFonts w:hint="eastAsia" w:asciiTheme="minorEastAsia" w:hAnsiTheme="minorEastAsia" w:eastAsiaTheme="minorEastAsia"/>
          <w:b/>
          <w:color w:val="auto"/>
          <w:sz w:val="32"/>
          <w:szCs w:val="32"/>
        </w:rPr>
      </w:pPr>
    </w:p>
    <w:p>
      <w:pPr>
        <w:adjustRightInd w:val="0"/>
        <w:snapToGrid w:val="0"/>
        <w:ind w:firstLine="420"/>
        <w:rPr>
          <w:rFonts w:hint="eastAsia" w:cs="宋体" w:asciiTheme="minorEastAsia" w:hAnsiTheme="minorEastAsia" w:eastAsiaTheme="minorEastAsia"/>
          <w:color w:val="auto"/>
          <w:szCs w:val="21"/>
        </w:rPr>
      </w:pPr>
    </w:p>
    <w:p>
      <w:pPr>
        <w:widowControl/>
        <w:ind w:firstLine="0" w:firstLineChars="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sectPr>
      </w:pPr>
    </w:p>
    <w:p>
      <w:pPr>
        <w:pStyle w:val="6"/>
        <w:rPr>
          <w:rFonts w:ascii="宋体" w:hAnsi="宋体" w:eastAsia="宋体" w:cs="宋体"/>
          <w:color w:val="auto"/>
          <w:sz w:val="21"/>
          <w:szCs w:val="21"/>
        </w:rPr>
      </w:pPr>
      <w:r>
        <w:rPr>
          <w:rFonts w:hint="eastAsia" w:ascii="宋体" w:hAnsi="宋体" w:eastAsia="宋体" w:cs="宋体"/>
          <w:color w:val="auto"/>
          <w:sz w:val="21"/>
          <w:szCs w:val="21"/>
        </w:rPr>
        <w:t xml:space="preserve">附件三 </w:t>
      </w: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报价明细表</w:t>
      </w:r>
    </w:p>
    <w:tbl>
      <w:tblPr>
        <w:tblStyle w:val="27"/>
        <w:tblpPr w:leftFromText="180" w:rightFromText="180" w:vertAnchor="text" w:tblpX="15644" w:tblpY="126"/>
        <w:tblOverlap w:val="never"/>
        <w:tblW w:w="1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399" w:type="dxa"/>
          </w:tcPr>
          <w:p>
            <w:pPr>
              <w:rPr>
                <w:rFonts w:ascii="宋体" w:hAnsi="宋体" w:eastAsia="宋体"/>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399" w:type="dxa"/>
          </w:tcPr>
          <w:p>
            <w:pPr>
              <w:rPr>
                <w:rFonts w:ascii="宋体" w:hAnsi="宋体" w:eastAsia="宋体"/>
                <w:color w:val="auto"/>
                <w:vertAlign w:val="baseline"/>
              </w:rPr>
            </w:pPr>
          </w:p>
        </w:tc>
      </w:tr>
    </w:tbl>
    <w:p>
      <w:pPr>
        <w:ind w:firstLine="420"/>
        <w:rPr>
          <w:rFonts w:ascii="宋体" w:hAnsi="宋体" w:eastAsia="宋体"/>
          <w:color w:val="auto"/>
        </w:rPr>
      </w:pPr>
    </w:p>
    <w:p>
      <w:pPr>
        <w:pStyle w:val="2"/>
        <w:ind w:firstLine="0" w:firstLineChars="0"/>
        <w:jc w:val="center"/>
        <w:rPr>
          <w:rFonts w:ascii="宋体" w:hAnsi="宋体" w:eastAsia="宋体"/>
          <w:b/>
          <w:color w:val="auto"/>
          <w:sz w:val="32"/>
          <w:szCs w:val="32"/>
        </w:rPr>
      </w:pPr>
      <w:r>
        <w:rPr>
          <w:rFonts w:hint="eastAsia" w:ascii="宋体" w:hAnsi="宋体" w:eastAsia="宋体" w:cs="宋体"/>
          <w:b/>
          <w:color w:val="auto"/>
          <w:sz w:val="32"/>
          <w:szCs w:val="32"/>
          <w:lang w:eastAsia="zh-CN"/>
        </w:rPr>
        <w:t>投标</w:t>
      </w:r>
      <w:r>
        <w:rPr>
          <w:rFonts w:hint="eastAsia" w:ascii="宋体" w:hAnsi="宋体" w:eastAsia="宋体" w:cs="宋体"/>
          <w:b/>
          <w:color w:val="auto"/>
          <w:sz w:val="32"/>
          <w:szCs w:val="32"/>
        </w:rPr>
        <w:t>报价明细表</w:t>
      </w:r>
    </w:p>
    <w:p>
      <w:pPr>
        <w:pStyle w:val="2"/>
        <w:ind w:firstLine="210"/>
        <w:rPr>
          <w:rFonts w:ascii="宋体" w:hAnsi="宋体" w:eastAsia="宋体"/>
          <w:color w:val="auto"/>
        </w:rPr>
      </w:pPr>
    </w:p>
    <w:p>
      <w:pPr>
        <w:adjustRightInd w:val="0"/>
        <w:snapToGrid w:val="0"/>
        <w:ind w:firstLine="735" w:firstLineChars="350"/>
        <w:rPr>
          <w:rFonts w:ascii="宋体" w:hAnsi="宋体" w:eastAsia="宋体" w:cs="宋体"/>
          <w:color w:val="auto"/>
          <w:szCs w:val="21"/>
        </w:rPr>
      </w:pPr>
      <w:r>
        <w:rPr>
          <w:rFonts w:hint="eastAsia" w:ascii="宋体" w:hAnsi="宋体" w:eastAsia="宋体" w:cs="宋体"/>
          <w:color w:val="auto"/>
          <w:szCs w:val="21"/>
        </w:rPr>
        <w:t xml:space="preserve">项目名称：                                </w:t>
      </w:r>
      <w:r>
        <w:rPr>
          <w:rFonts w:hint="eastAsia" w:ascii="宋体" w:hAnsi="宋体" w:cs="宋体"/>
          <w:color w:val="auto"/>
          <w:szCs w:val="21"/>
          <w:lang w:eastAsia="zh-CN"/>
        </w:rPr>
        <w:t>招标</w:t>
      </w:r>
      <w:r>
        <w:rPr>
          <w:rFonts w:hint="eastAsia" w:ascii="宋体" w:hAnsi="宋体" w:eastAsia="宋体" w:cs="宋体"/>
          <w:color w:val="auto"/>
          <w:szCs w:val="21"/>
        </w:rPr>
        <w:t>编号：                           （价格单位：元人民币）</w:t>
      </w:r>
    </w:p>
    <w:tbl>
      <w:tblPr>
        <w:tblStyle w:val="26"/>
        <w:tblW w:w="13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925"/>
        <w:gridCol w:w="1085"/>
        <w:gridCol w:w="1066"/>
        <w:gridCol w:w="1337"/>
        <w:gridCol w:w="1331"/>
        <w:gridCol w:w="851"/>
        <w:gridCol w:w="992"/>
        <w:gridCol w:w="1276"/>
        <w:gridCol w:w="1275"/>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序号</w:t>
            </w:r>
          </w:p>
        </w:tc>
        <w:tc>
          <w:tcPr>
            <w:tcW w:w="1925" w:type="dxa"/>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货物名称/内容</w:t>
            </w:r>
          </w:p>
        </w:tc>
        <w:tc>
          <w:tcPr>
            <w:tcW w:w="1085" w:type="dxa"/>
            <w:tcBorders>
              <w:right w:val="single" w:color="auto" w:sz="2" w:space="0"/>
            </w:tcBorders>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品牌</w:t>
            </w:r>
          </w:p>
        </w:tc>
        <w:tc>
          <w:tcPr>
            <w:tcW w:w="1066" w:type="dxa"/>
            <w:tcBorders>
              <w:left w:val="single" w:color="auto" w:sz="2" w:space="0"/>
              <w:right w:val="single" w:color="auto" w:sz="2" w:space="0"/>
            </w:tcBorders>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型号规格</w:t>
            </w:r>
          </w:p>
        </w:tc>
        <w:tc>
          <w:tcPr>
            <w:tcW w:w="1337" w:type="dxa"/>
            <w:tcBorders>
              <w:left w:val="single" w:color="auto" w:sz="2" w:space="0"/>
            </w:tcBorders>
            <w:vAlign w:val="center"/>
          </w:tcPr>
          <w:p>
            <w:pPr>
              <w:ind w:firstLine="0" w:firstLineChars="0"/>
              <w:jc w:val="center"/>
              <w:rPr>
                <w:rFonts w:ascii="宋体" w:hAnsi="宋体" w:eastAsia="宋体" w:cs="宋体"/>
                <w:color w:val="auto"/>
                <w:szCs w:val="21"/>
              </w:rPr>
            </w:pPr>
            <w:r>
              <w:rPr>
                <w:rFonts w:hint="eastAsia" w:ascii="宋体" w:hAnsi="宋体" w:cs="宋体"/>
                <w:color w:val="auto"/>
                <w:szCs w:val="21"/>
                <w:lang w:eastAsia="zh-CN"/>
              </w:rPr>
              <w:t>原</w:t>
            </w:r>
            <w:r>
              <w:rPr>
                <w:rFonts w:hint="eastAsia" w:ascii="宋体" w:hAnsi="宋体" w:eastAsia="宋体" w:cs="宋体"/>
                <w:color w:val="auto"/>
                <w:szCs w:val="21"/>
              </w:rPr>
              <w:t>产地</w:t>
            </w:r>
          </w:p>
        </w:tc>
        <w:tc>
          <w:tcPr>
            <w:tcW w:w="1331" w:type="dxa"/>
            <w:tcBorders>
              <w:left w:val="single" w:color="auto" w:sz="4" w:space="0"/>
            </w:tcBorders>
            <w:vAlign w:val="center"/>
          </w:tcPr>
          <w:p>
            <w:pPr>
              <w:ind w:firstLine="0" w:firstLineChars="0"/>
              <w:jc w:val="center"/>
              <w:rPr>
                <w:rFonts w:hint="eastAsia" w:ascii="宋体" w:hAnsi="宋体" w:eastAsia="宋体" w:cs="宋体"/>
                <w:color w:val="auto"/>
                <w:szCs w:val="21"/>
                <w:lang w:eastAsia="zh-CN"/>
              </w:rPr>
            </w:pPr>
            <w:r>
              <w:rPr>
                <w:rFonts w:hint="eastAsia" w:ascii="宋体" w:hAnsi="宋体" w:cs="宋体"/>
                <w:color w:val="auto"/>
                <w:szCs w:val="21"/>
                <w:lang w:eastAsia="zh-CN"/>
              </w:rPr>
              <w:t>制造商名称</w:t>
            </w:r>
          </w:p>
        </w:tc>
        <w:tc>
          <w:tcPr>
            <w:tcW w:w="851" w:type="dxa"/>
            <w:tcBorders>
              <w:left w:val="single" w:color="auto" w:sz="2" w:space="0"/>
            </w:tcBorders>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单位</w:t>
            </w:r>
          </w:p>
        </w:tc>
        <w:tc>
          <w:tcPr>
            <w:tcW w:w="992" w:type="dxa"/>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数量</w:t>
            </w:r>
          </w:p>
        </w:tc>
        <w:tc>
          <w:tcPr>
            <w:tcW w:w="1276" w:type="dxa"/>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单价</w:t>
            </w:r>
          </w:p>
        </w:tc>
        <w:tc>
          <w:tcPr>
            <w:tcW w:w="1275" w:type="dxa"/>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总价</w:t>
            </w:r>
          </w:p>
        </w:tc>
        <w:tc>
          <w:tcPr>
            <w:tcW w:w="1298" w:type="dxa"/>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一</w:t>
            </w:r>
          </w:p>
        </w:tc>
        <w:tc>
          <w:tcPr>
            <w:tcW w:w="1925" w:type="dxa"/>
            <w:vAlign w:val="center"/>
          </w:tcPr>
          <w:p>
            <w:pPr>
              <w:ind w:firstLine="420"/>
              <w:rPr>
                <w:rFonts w:ascii="宋体" w:hAnsi="宋体" w:eastAsia="宋体" w:cs="宋体"/>
                <w:color w:val="auto"/>
                <w:szCs w:val="21"/>
              </w:rPr>
            </w:pPr>
          </w:p>
        </w:tc>
        <w:tc>
          <w:tcPr>
            <w:tcW w:w="1085" w:type="dxa"/>
            <w:tcBorders>
              <w:right w:val="single" w:color="auto" w:sz="2" w:space="0"/>
            </w:tcBorders>
            <w:vAlign w:val="center"/>
          </w:tcPr>
          <w:p>
            <w:pPr>
              <w:ind w:firstLine="420"/>
              <w:rPr>
                <w:rFonts w:ascii="宋体" w:hAnsi="宋体" w:eastAsia="宋体" w:cs="宋体"/>
                <w:color w:val="auto"/>
                <w:szCs w:val="21"/>
              </w:rPr>
            </w:pPr>
          </w:p>
        </w:tc>
        <w:tc>
          <w:tcPr>
            <w:tcW w:w="1066" w:type="dxa"/>
            <w:tcBorders>
              <w:left w:val="single" w:color="auto" w:sz="2" w:space="0"/>
              <w:right w:val="single" w:color="auto" w:sz="2" w:space="0"/>
            </w:tcBorders>
            <w:vAlign w:val="center"/>
          </w:tcPr>
          <w:p>
            <w:pPr>
              <w:ind w:firstLine="420"/>
              <w:rPr>
                <w:rFonts w:ascii="宋体" w:hAnsi="宋体" w:eastAsia="宋体" w:cs="宋体"/>
                <w:color w:val="auto"/>
                <w:szCs w:val="21"/>
              </w:rPr>
            </w:pPr>
          </w:p>
        </w:tc>
        <w:tc>
          <w:tcPr>
            <w:tcW w:w="1337" w:type="dxa"/>
            <w:tcBorders>
              <w:left w:val="single" w:color="auto" w:sz="2" w:space="0"/>
            </w:tcBorders>
            <w:vAlign w:val="center"/>
          </w:tcPr>
          <w:p>
            <w:pPr>
              <w:ind w:firstLine="420"/>
              <w:rPr>
                <w:rFonts w:ascii="宋体" w:hAnsi="宋体" w:eastAsia="宋体" w:cs="宋体"/>
                <w:color w:val="auto"/>
                <w:szCs w:val="21"/>
              </w:rPr>
            </w:pPr>
          </w:p>
        </w:tc>
        <w:tc>
          <w:tcPr>
            <w:tcW w:w="1331" w:type="dxa"/>
            <w:tcBorders>
              <w:left w:val="single" w:color="auto" w:sz="4" w:space="0"/>
            </w:tcBorders>
            <w:vAlign w:val="center"/>
          </w:tcPr>
          <w:p>
            <w:pPr>
              <w:ind w:firstLine="420"/>
              <w:rPr>
                <w:rFonts w:ascii="宋体" w:hAnsi="宋体" w:eastAsia="宋体" w:cs="宋体"/>
                <w:color w:val="auto"/>
                <w:szCs w:val="21"/>
              </w:rPr>
            </w:pPr>
          </w:p>
        </w:tc>
        <w:tc>
          <w:tcPr>
            <w:tcW w:w="851" w:type="dxa"/>
            <w:tcBorders>
              <w:left w:val="single" w:color="auto" w:sz="2" w:space="0"/>
            </w:tcBorders>
            <w:vAlign w:val="center"/>
          </w:tcPr>
          <w:p>
            <w:pPr>
              <w:ind w:firstLine="420"/>
              <w:rPr>
                <w:rFonts w:ascii="宋体" w:hAnsi="宋体" w:eastAsia="宋体" w:cs="宋体"/>
                <w:color w:val="auto"/>
                <w:szCs w:val="21"/>
              </w:rPr>
            </w:pPr>
          </w:p>
        </w:tc>
        <w:tc>
          <w:tcPr>
            <w:tcW w:w="992" w:type="dxa"/>
            <w:vAlign w:val="center"/>
          </w:tcPr>
          <w:p>
            <w:pPr>
              <w:ind w:firstLine="420"/>
              <w:rPr>
                <w:rFonts w:ascii="宋体" w:hAnsi="宋体" w:eastAsia="宋体" w:cs="宋体"/>
                <w:color w:val="auto"/>
                <w:szCs w:val="21"/>
              </w:rPr>
            </w:pPr>
          </w:p>
        </w:tc>
        <w:tc>
          <w:tcPr>
            <w:tcW w:w="1276" w:type="dxa"/>
            <w:vAlign w:val="center"/>
          </w:tcPr>
          <w:p>
            <w:pPr>
              <w:ind w:firstLine="420"/>
              <w:rPr>
                <w:rFonts w:ascii="宋体" w:hAnsi="宋体" w:eastAsia="宋体" w:cs="宋体"/>
                <w:color w:val="auto"/>
                <w:szCs w:val="21"/>
              </w:rPr>
            </w:pPr>
          </w:p>
        </w:tc>
        <w:tc>
          <w:tcPr>
            <w:tcW w:w="1275" w:type="dxa"/>
            <w:vAlign w:val="center"/>
          </w:tcPr>
          <w:p>
            <w:pPr>
              <w:ind w:firstLine="420"/>
              <w:rPr>
                <w:rFonts w:ascii="宋体" w:hAnsi="宋体" w:eastAsia="宋体" w:cs="宋体"/>
                <w:color w:val="auto"/>
                <w:szCs w:val="21"/>
              </w:rPr>
            </w:pPr>
          </w:p>
        </w:tc>
        <w:tc>
          <w:tcPr>
            <w:tcW w:w="1298" w:type="dxa"/>
            <w:vAlign w:val="center"/>
          </w:tcPr>
          <w:p>
            <w:pPr>
              <w:ind w:firstLine="420"/>
              <w:rPr>
                <w:rFonts w:ascii="宋体" w:hAnsi="宋体" w:eastAsia="宋体" w:cs="宋体"/>
                <w:color w:val="auto"/>
                <w:szCs w:val="21"/>
              </w:rPr>
            </w:pPr>
            <w:r>
              <w:rPr>
                <w:rFonts w:hint="eastAsia" w:ascii="宋体" w:hAnsi="宋体" w:eastAsia="宋体" w:cs="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1</w:t>
            </w:r>
          </w:p>
        </w:tc>
        <w:tc>
          <w:tcPr>
            <w:tcW w:w="1925" w:type="dxa"/>
            <w:vAlign w:val="center"/>
          </w:tcPr>
          <w:p>
            <w:pPr>
              <w:ind w:firstLine="420"/>
              <w:rPr>
                <w:rFonts w:ascii="宋体" w:hAnsi="宋体" w:eastAsia="宋体" w:cs="宋体"/>
                <w:color w:val="auto"/>
                <w:szCs w:val="21"/>
              </w:rPr>
            </w:pPr>
          </w:p>
        </w:tc>
        <w:tc>
          <w:tcPr>
            <w:tcW w:w="1085" w:type="dxa"/>
            <w:tcBorders>
              <w:right w:val="single" w:color="auto" w:sz="2" w:space="0"/>
            </w:tcBorders>
            <w:vAlign w:val="center"/>
          </w:tcPr>
          <w:p>
            <w:pPr>
              <w:ind w:firstLine="420"/>
              <w:rPr>
                <w:rFonts w:ascii="宋体" w:hAnsi="宋体" w:eastAsia="宋体" w:cs="宋体"/>
                <w:color w:val="auto"/>
                <w:szCs w:val="21"/>
              </w:rPr>
            </w:pPr>
          </w:p>
        </w:tc>
        <w:tc>
          <w:tcPr>
            <w:tcW w:w="1066" w:type="dxa"/>
            <w:tcBorders>
              <w:left w:val="single" w:color="auto" w:sz="2" w:space="0"/>
              <w:right w:val="single" w:color="auto" w:sz="2" w:space="0"/>
            </w:tcBorders>
            <w:vAlign w:val="center"/>
          </w:tcPr>
          <w:p>
            <w:pPr>
              <w:ind w:firstLine="420"/>
              <w:rPr>
                <w:rFonts w:ascii="宋体" w:hAnsi="宋体" w:eastAsia="宋体" w:cs="宋体"/>
                <w:color w:val="auto"/>
                <w:szCs w:val="21"/>
              </w:rPr>
            </w:pPr>
          </w:p>
        </w:tc>
        <w:tc>
          <w:tcPr>
            <w:tcW w:w="1337" w:type="dxa"/>
            <w:tcBorders>
              <w:left w:val="single" w:color="auto" w:sz="2" w:space="0"/>
            </w:tcBorders>
            <w:vAlign w:val="center"/>
          </w:tcPr>
          <w:p>
            <w:pPr>
              <w:ind w:firstLine="420"/>
              <w:rPr>
                <w:rFonts w:ascii="宋体" w:hAnsi="宋体" w:eastAsia="宋体" w:cs="宋体"/>
                <w:color w:val="auto"/>
                <w:szCs w:val="21"/>
              </w:rPr>
            </w:pPr>
          </w:p>
        </w:tc>
        <w:tc>
          <w:tcPr>
            <w:tcW w:w="1331" w:type="dxa"/>
            <w:tcBorders>
              <w:left w:val="single" w:color="auto" w:sz="4" w:space="0"/>
            </w:tcBorders>
            <w:vAlign w:val="center"/>
          </w:tcPr>
          <w:p>
            <w:pPr>
              <w:ind w:firstLine="420"/>
              <w:rPr>
                <w:rFonts w:ascii="宋体" w:hAnsi="宋体" w:eastAsia="宋体" w:cs="宋体"/>
                <w:color w:val="auto"/>
                <w:szCs w:val="21"/>
              </w:rPr>
            </w:pPr>
          </w:p>
        </w:tc>
        <w:tc>
          <w:tcPr>
            <w:tcW w:w="851" w:type="dxa"/>
            <w:tcBorders>
              <w:left w:val="single" w:color="auto" w:sz="2" w:space="0"/>
            </w:tcBorders>
            <w:vAlign w:val="center"/>
          </w:tcPr>
          <w:p>
            <w:pPr>
              <w:ind w:firstLine="420"/>
              <w:rPr>
                <w:rFonts w:ascii="宋体" w:hAnsi="宋体" w:eastAsia="宋体" w:cs="宋体"/>
                <w:color w:val="auto"/>
                <w:szCs w:val="21"/>
              </w:rPr>
            </w:pPr>
          </w:p>
        </w:tc>
        <w:tc>
          <w:tcPr>
            <w:tcW w:w="992" w:type="dxa"/>
            <w:vAlign w:val="center"/>
          </w:tcPr>
          <w:p>
            <w:pPr>
              <w:ind w:firstLine="420"/>
              <w:rPr>
                <w:rFonts w:ascii="宋体" w:hAnsi="宋体" w:eastAsia="宋体" w:cs="宋体"/>
                <w:color w:val="auto"/>
                <w:szCs w:val="21"/>
              </w:rPr>
            </w:pPr>
          </w:p>
        </w:tc>
        <w:tc>
          <w:tcPr>
            <w:tcW w:w="1276" w:type="dxa"/>
            <w:vAlign w:val="center"/>
          </w:tcPr>
          <w:p>
            <w:pPr>
              <w:ind w:firstLine="420"/>
              <w:rPr>
                <w:rFonts w:ascii="宋体" w:hAnsi="宋体" w:eastAsia="宋体" w:cs="宋体"/>
                <w:color w:val="auto"/>
                <w:szCs w:val="21"/>
              </w:rPr>
            </w:pPr>
          </w:p>
        </w:tc>
        <w:tc>
          <w:tcPr>
            <w:tcW w:w="1275" w:type="dxa"/>
            <w:vAlign w:val="center"/>
          </w:tcPr>
          <w:p>
            <w:pPr>
              <w:ind w:firstLine="420"/>
              <w:rPr>
                <w:rFonts w:ascii="宋体" w:hAnsi="宋体" w:eastAsia="宋体" w:cs="宋体"/>
                <w:color w:val="auto"/>
                <w:szCs w:val="21"/>
              </w:rPr>
            </w:pPr>
          </w:p>
        </w:tc>
        <w:tc>
          <w:tcPr>
            <w:tcW w:w="1298" w:type="dxa"/>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w:t>
            </w:r>
          </w:p>
        </w:tc>
        <w:tc>
          <w:tcPr>
            <w:tcW w:w="1925" w:type="dxa"/>
            <w:vAlign w:val="center"/>
          </w:tcPr>
          <w:p>
            <w:pPr>
              <w:ind w:firstLine="420"/>
              <w:rPr>
                <w:rFonts w:ascii="宋体" w:hAnsi="宋体" w:eastAsia="宋体" w:cs="宋体"/>
                <w:color w:val="auto"/>
                <w:szCs w:val="21"/>
              </w:rPr>
            </w:pPr>
            <w:r>
              <w:rPr>
                <w:rFonts w:hint="eastAsia" w:ascii="宋体" w:hAnsi="宋体" w:eastAsia="宋体" w:cs="宋体"/>
                <w:color w:val="auto"/>
                <w:szCs w:val="21"/>
              </w:rPr>
              <w:t xml:space="preserve"> </w:t>
            </w:r>
          </w:p>
        </w:tc>
        <w:tc>
          <w:tcPr>
            <w:tcW w:w="1085" w:type="dxa"/>
            <w:vAlign w:val="center"/>
          </w:tcPr>
          <w:p>
            <w:pPr>
              <w:ind w:firstLine="420"/>
              <w:rPr>
                <w:rFonts w:ascii="宋体" w:hAnsi="宋体" w:eastAsia="宋体" w:cs="宋体"/>
                <w:color w:val="auto"/>
                <w:szCs w:val="21"/>
              </w:rPr>
            </w:pPr>
          </w:p>
        </w:tc>
        <w:tc>
          <w:tcPr>
            <w:tcW w:w="1066" w:type="dxa"/>
            <w:vAlign w:val="center"/>
          </w:tcPr>
          <w:p>
            <w:pPr>
              <w:ind w:firstLine="420"/>
              <w:rPr>
                <w:rFonts w:ascii="宋体" w:hAnsi="宋体" w:eastAsia="宋体" w:cs="宋体"/>
                <w:color w:val="auto"/>
                <w:szCs w:val="21"/>
              </w:rPr>
            </w:pPr>
          </w:p>
        </w:tc>
        <w:tc>
          <w:tcPr>
            <w:tcW w:w="1337" w:type="dxa"/>
            <w:vAlign w:val="center"/>
          </w:tcPr>
          <w:p>
            <w:pPr>
              <w:ind w:firstLine="420"/>
              <w:rPr>
                <w:rFonts w:ascii="宋体" w:hAnsi="宋体" w:eastAsia="宋体" w:cs="宋体"/>
                <w:color w:val="auto"/>
                <w:szCs w:val="21"/>
              </w:rPr>
            </w:pPr>
          </w:p>
        </w:tc>
        <w:tc>
          <w:tcPr>
            <w:tcW w:w="1331" w:type="dxa"/>
            <w:vAlign w:val="center"/>
          </w:tcPr>
          <w:p>
            <w:pPr>
              <w:ind w:firstLine="420"/>
              <w:rPr>
                <w:rFonts w:ascii="宋体" w:hAnsi="宋体" w:eastAsia="宋体" w:cs="宋体"/>
                <w:color w:val="auto"/>
                <w:szCs w:val="21"/>
              </w:rPr>
            </w:pPr>
          </w:p>
        </w:tc>
        <w:tc>
          <w:tcPr>
            <w:tcW w:w="851" w:type="dxa"/>
            <w:vAlign w:val="center"/>
          </w:tcPr>
          <w:p>
            <w:pPr>
              <w:ind w:firstLine="420"/>
              <w:rPr>
                <w:rFonts w:ascii="宋体" w:hAnsi="宋体" w:eastAsia="宋体" w:cs="宋体"/>
                <w:color w:val="auto"/>
                <w:szCs w:val="21"/>
              </w:rPr>
            </w:pPr>
          </w:p>
        </w:tc>
        <w:tc>
          <w:tcPr>
            <w:tcW w:w="992" w:type="dxa"/>
            <w:vAlign w:val="center"/>
          </w:tcPr>
          <w:p>
            <w:pPr>
              <w:ind w:firstLine="420"/>
              <w:rPr>
                <w:rFonts w:ascii="宋体" w:hAnsi="宋体" w:eastAsia="宋体" w:cs="宋体"/>
                <w:color w:val="auto"/>
                <w:szCs w:val="21"/>
              </w:rPr>
            </w:pPr>
          </w:p>
        </w:tc>
        <w:tc>
          <w:tcPr>
            <w:tcW w:w="1276" w:type="dxa"/>
            <w:vAlign w:val="center"/>
          </w:tcPr>
          <w:p>
            <w:pPr>
              <w:ind w:firstLine="420"/>
              <w:rPr>
                <w:rFonts w:ascii="宋体" w:hAnsi="宋体" w:eastAsia="宋体" w:cs="宋体"/>
                <w:color w:val="auto"/>
                <w:szCs w:val="21"/>
              </w:rPr>
            </w:pPr>
          </w:p>
        </w:tc>
        <w:tc>
          <w:tcPr>
            <w:tcW w:w="1275" w:type="dxa"/>
            <w:vAlign w:val="center"/>
          </w:tcPr>
          <w:p>
            <w:pPr>
              <w:ind w:firstLine="420"/>
              <w:rPr>
                <w:rFonts w:ascii="宋体" w:hAnsi="宋体" w:eastAsia="宋体" w:cs="宋体"/>
                <w:color w:val="auto"/>
                <w:szCs w:val="21"/>
              </w:rPr>
            </w:pPr>
          </w:p>
        </w:tc>
        <w:tc>
          <w:tcPr>
            <w:tcW w:w="1298" w:type="dxa"/>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二</w:t>
            </w:r>
          </w:p>
        </w:tc>
        <w:tc>
          <w:tcPr>
            <w:tcW w:w="1925" w:type="dxa"/>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小计</w:t>
            </w:r>
          </w:p>
        </w:tc>
        <w:tc>
          <w:tcPr>
            <w:tcW w:w="7938" w:type="dxa"/>
            <w:gridSpan w:val="7"/>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w:t>
            </w:r>
          </w:p>
        </w:tc>
        <w:tc>
          <w:tcPr>
            <w:tcW w:w="1275" w:type="dxa"/>
            <w:vAlign w:val="center"/>
          </w:tcPr>
          <w:p>
            <w:pPr>
              <w:ind w:firstLine="420"/>
              <w:rPr>
                <w:rFonts w:ascii="宋体" w:hAnsi="宋体" w:eastAsia="宋体" w:cs="宋体"/>
                <w:color w:val="auto"/>
                <w:szCs w:val="21"/>
              </w:rPr>
            </w:pPr>
          </w:p>
        </w:tc>
        <w:tc>
          <w:tcPr>
            <w:tcW w:w="1298" w:type="dxa"/>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exact"/>
          <w:jc w:val="center"/>
        </w:trPr>
        <w:tc>
          <w:tcPr>
            <w:tcW w:w="876" w:type="dxa"/>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三</w:t>
            </w:r>
          </w:p>
        </w:tc>
        <w:tc>
          <w:tcPr>
            <w:tcW w:w="1925" w:type="dxa"/>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安装费、调试费</w:t>
            </w:r>
          </w:p>
        </w:tc>
        <w:tc>
          <w:tcPr>
            <w:tcW w:w="7938" w:type="dxa"/>
            <w:gridSpan w:val="7"/>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w:t>
            </w:r>
          </w:p>
        </w:tc>
        <w:tc>
          <w:tcPr>
            <w:tcW w:w="1275" w:type="dxa"/>
            <w:vAlign w:val="center"/>
          </w:tcPr>
          <w:p>
            <w:pPr>
              <w:ind w:firstLine="420"/>
              <w:rPr>
                <w:rFonts w:ascii="宋体" w:hAnsi="宋体" w:eastAsia="宋体" w:cs="宋体"/>
                <w:color w:val="auto"/>
                <w:szCs w:val="21"/>
              </w:rPr>
            </w:pPr>
          </w:p>
        </w:tc>
        <w:tc>
          <w:tcPr>
            <w:tcW w:w="1298" w:type="dxa"/>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四</w:t>
            </w:r>
          </w:p>
        </w:tc>
        <w:tc>
          <w:tcPr>
            <w:tcW w:w="1925" w:type="dxa"/>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人工费</w:t>
            </w:r>
          </w:p>
        </w:tc>
        <w:tc>
          <w:tcPr>
            <w:tcW w:w="7938" w:type="dxa"/>
            <w:gridSpan w:val="7"/>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w:t>
            </w:r>
          </w:p>
        </w:tc>
        <w:tc>
          <w:tcPr>
            <w:tcW w:w="1275" w:type="dxa"/>
            <w:vAlign w:val="center"/>
          </w:tcPr>
          <w:p>
            <w:pPr>
              <w:ind w:firstLine="420"/>
              <w:rPr>
                <w:rFonts w:ascii="宋体" w:hAnsi="宋体" w:eastAsia="宋体" w:cs="宋体"/>
                <w:color w:val="auto"/>
                <w:szCs w:val="21"/>
              </w:rPr>
            </w:pPr>
          </w:p>
        </w:tc>
        <w:tc>
          <w:tcPr>
            <w:tcW w:w="1298" w:type="dxa"/>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五</w:t>
            </w:r>
          </w:p>
        </w:tc>
        <w:tc>
          <w:tcPr>
            <w:tcW w:w="1925" w:type="dxa"/>
            <w:vAlign w:val="center"/>
          </w:tcPr>
          <w:p>
            <w:pPr>
              <w:ind w:firstLine="0" w:firstLineChars="0"/>
              <w:rPr>
                <w:rFonts w:ascii="宋体" w:hAnsi="宋体" w:eastAsia="宋体" w:cs="宋体"/>
                <w:color w:val="auto"/>
                <w:szCs w:val="21"/>
                <w:u w:val="single"/>
              </w:rPr>
            </w:pPr>
            <w:r>
              <w:rPr>
                <w:rFonts w:hint="eastAsia" w:ascii="宋体" w:hAnsi="宋体" w:eastAsia="宋体" w:cs="宋体"/>
                <w:color w:val="auto"/>
                <w:szCs w:val="21"/>
              </w:rPr>
              <w:t>培训费</w:t>
            </w:r>
          </w:p>
        </w:tc>
        <w:tc>
          <w:tcPr>
            <w:tcW w:w="7938" w:type="dxa"/>
            <w:gridSpan w:val="7"/>
            <w:vAlign w:val="center"/>
          </w:tcPr>
          <w:p>
            <w:pPr>
              <w:ind w:firstLine="0" w:firstLineChars="0"/>
              <w:rPr>
                <w:rFonts w:ascii="宋体" w:hAnsi="宋体" w:eastAsia="宋体" w:cs="宋体"/>
                <w:color w:val="auto"/>
                <w:szCs w:val="21"/>
                <w:u w:val="single"/>
              </w:rPr>
            </w:pPr>
            <w:r>
              <w:rPr>
                <w:rFonts w:hint="eastAsia" w:ascii="宋体" w:hAnsi="宋体" w:eastAsia="宋体" w:cs="宋体"/>
                <w:color w:val="auto"/>
                <w:szCs w:val="21"/>
              </w:rPr>
              <w:t>∕</w:t>
            </w:r>
          </w:p>
        </w:tc>
        <w:tc>
          <w:tcPr>
            <w:tcW w:w="1275" w:type="dxa"/>
            <w:vAlign w:val="center"/>
          </w:tcPr>
          <w:p>
            <w:pPr>
              <w:ind w:firstLine="420"/>
              <w:rPr>
                <w:rFonts w:ascii="宋体" w:hAnsi="宋体" w:eastAsia="宋体" w:cs="宋体"/>
                <w:color w:val="auto"/>
                <w:szCs w:val="21"/>
              </w:rPr>
            </w:pPr>
          </w:p>
        </w:tc>
        <w:tc>
          <w:tcPr>
            <w:tcW w:w="1298" w:type="dxa"/>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六</w:t>
            </w:r>
          </w:p>
        </w:tc>
        <w:tc>
          <w:tcPr>
            <w:tcW w:w="1925" w:type="dxa"/>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质保费用</w:t>
            </w:r>
          </w:p>
        </w:tc>
        <w:tc>
          <w:tcPr>
            <w:tcW w:w="7938" w:type="dxa"/>
            <w:gridSpan w:val="7"/>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w:t>
            </w:r>
          </w:p>
        </w:tc>
        <w:tc>
          <w:tcPr>
            <w:tcW w:w="1275" w:type="dxa"/>
            <w:vAlign w:val="center"/>
          </w:tcPr>
          <w:p>
            <w:pPr>
              <w:ind w:firstLine="420"/>
              <w:rPr>
                <w:rFonts w:ascii="宋体" w:hAnsi="宋体" w:eastAsia="宋体" w:cs="宋体"/>
                <w:color w:val="auto"/>
                <w:szCs w:val="21"/>
              </w:rPr>
            </w:pPr>
          </w:p>
        </w:tc>
        <w:tc>
          <w:tcPr>
            <w:tcW w:w="1298" w:type="dxa"/>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七</w:t>
            </w:r>
          </w:p>
        </w:tc>
        <w:tc>
          <w:tcPr>
            <w:tcW w:w="1925" w:type="dxa"/>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其它费用</w:t>
            </w:r>
          </w:p>
        </w:tc>
        <w:tc>
          <w:tcPr>
            <w:tcW w:w="7938" w:type="dxa"/>
            <w:gridSpan w:val="7"/>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w:t>
            </w:r>
          </w:p>
        </w:tc>
        <w:tc>
          <w:tcPr>
            <w:tcW w:w="1275" w:type="dxa"/>
            <w:vAlign w:val="center"/>
          </w:tcPr>
          <w:p>
            <w:pPr>
              <w:ind w:firstLine="420"/>
              <w:rPr>
                <w:rFonts w:ascii="宋体" w:hAnsi="宋体" w:eastAsia="宋体" w:cs="宋体"/>
                <w:color w:val="auto"/>
                <w:szCs w:val="21"/>
              </w:rPr>
            </w:pPr>
          </w:p>
        </w:tc>
        <w:tc>
          <w:tcPr>
            <w:tcW w:w="1298" w:type="dxa"/>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76" w:type="dxa"/>
            <w:vMerge w:val="restart"/>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八</w:t>
            </w:r>
          </w:p>
        </w:tc>
        <w:tc>
          <w:tcPr>
            <w:tcW w:w="1925" w:type="dxa"/>
            <w:vMerge w:val="restart"/>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报价合计=二+三+四+五+六+七</w:t>
            </w:r>
          </w:p>
        </w:tc>
        <w:tc>
          <w:tcPr>
            <w:tcW w:w="7938" w:type="dxa"/>
            <w:gridSpan w:val="7"/>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小写</w:t>
            </w:r>
          </w:p>
        </w:tc>
        <w:tc>
          <w:tcPr>
            <w:tcW w:w="1275" w:type="dxa"/>
            <w:vAlign w:val="center"/>
          </w:tcPr>
          <w:p>
            <w:pPr>
              <w:ind w:firstLine="420"/>
              <w:rPr>
                <w:rFonts w:ascii="宋体" w:hAnsi="宋体" w:eastAsia="宋体" w:cs="宋体"/>
                <w:color w:val="auto"/>
                <w:szCs w:val="21"/>
              </w:rPr>
            </w:pPr>
          </w:p>
        </w:tc>
        <w:tc>
          <w:tcPr>
            <w:tcW w:w="1298" w:type="dxa"/>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876" w:type="dxa"/>
            <w:vMerge w:val="continue"/>
            <w:vAlign w:val="center"/>
          </w:tcPr>
          <w:p>
            <w:pPr>
              <w:widowControl/>
              <w:ind w:firstLine="0" w:firstLineChars="0"/>
              <w:jc w:val="center"/>
              <w:rPr>
                <w:rFonts w:ascii="宋体" w:hAnsi="宋体" w:eastAsia="宋体" w:cs="宋体"/>
                <w:color w:val="auto"/>
                <w:szCs w:val="21"/>
              </w:rPr>
            </w:pPr>
          </w:p>
        </w:tc>
        <w:tc>
          <w:tcPr>
            <w:tcW w:w="1925" w:type="dxa"/>
            <w:vMerge w:val="continue"/>
            <w:vAlign w:val="center"/>
          </w:tcPr>
          <w:p>
            <w:pPr>
              <w:widowControl/>
              <w:ind w:firstLine="0" w:firstLineChars="0"/>
              <w:jc w:val="left"/>
              <w:rPr>
                <w:rFonts w:ascii="宋体" w:hAnsi="宋体" w:eastAsia="宋体" w:cs="宋体"/>
                <w:color w:val="auto"/>
                <w:szCs w:val="21"/>
              </w:rPr>
            </w:pPr>
          </w:p>
        </w:tc>
        <w:tc>
          <w:tcPr>
            <w:tcW w:w="10511" w:type="dxa"/>
            <w:gridSpan w:val="9"/>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大写：</w:t>
            </w:r>
          </w:p>
        </w:tc>
      </w:tr>
    </w:tbl>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注：1、本表合计金额应与“开标一览表”中投标报价相一致；</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    2、本表可进一步细分，栏目可另加，应包括为完成本项目可能发生的全部费用。</w:t>
      </w:r>
    </w:p>
    <w:p>
      <w:pPr>
        <w:adjustRightInd w:val="0"/>
        <w:snapToGrid w:val="0"/>
        <w:ind w:firstLine="735" w:firstLineChars="35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adjustRightInd w:val="0"/>
        <w:snapToGrid w:val="0"/>
        <w:ind w:firstLine="619" w:firstLineChars="295"/>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授权委托人（签字或盖章）：                </w:t>
      </w:r>
    </w:p>
    <w:p>
      <w:pPr>
        <w:adjustRightInd w:val="0"/>
        <w:snapToGrid w:val="0"/>
        <w:ind w:firstLine="619" w:firstLineChars="295"/>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日期：</w:t>
      </w:r>
    </w:p>
    <w:p>
      <w:pPr>
        <w:pStyle w:val="6"/>
        <w:rPr>
          <w:color w:val="auto"/>
        </w:rPr>
        <w:sectPr>
          <w:type w:val="continuous"/>
          <w:pgSz w:w="16840" w:h="11907" w:orient="landscape"/>
          <w:pgMar w:top="1247" w:right="1304" w:bottom="1020" w:left="1304" w:header="720" w:footer="720" w:gutter="0"/>
          <w:cols w:space="720" w:num="1"/>
          <w:docGrid w:linePitch="286" w:charSpace="0"/>
        </w:sectPr>
      </w:pPr>
    </w:p>
    <w:p>
      <w:pPr>
        <w:pStyle w:val="6"/>
        <w:rPr>
          <w:color w:val="auto"/>
        </w:rPr>
      </w:pPr>
      <w:r>
        <w:rPr>
          <w:rFonts w:hint="eastAsia"/>
          <w:color w:val="auto"/>
        </w:rPr>
        <w:t>附件四 法定代表人证明书、法定代表人授权书</w:t>
      </w:r>
    </w:p>
    <w:p>
      <w:pPr>
        <w:ind w:firstLine="0" w:firstLineChars="0"/>
        <w:rPr>
          <w:rFonts w:cs="宋体" w:asciiTheme="minorEastAsia" w:hAnsiTheme="minorEastAsia" w:eastAsiaTheme="minorEastAsia"/>
          <w:b/>
          <w:bCs/>
          <w:color w:val="auto"/>
          <w:szCs w:val="20"/>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法定代表人证明书</w:t>
      </w:r>
    </w:p>
    <w:p>
      <w:pPr>
        <w:ind w:firstLine="0" w:firstLineChars="0"/>
        <w:rPr>
          <w:rFonts w:cs="宋体" w:asciiTheme="minorEastAsia" w:hAnsiTheme="minorEastAsia" w:eastAsiaTheme="minorEastAsia"/>
          <w:b/>
          <w:bCs/>
          <w:color w:val="auto"/>
          <w:szCs w:val="21"/>
        </w:rPr>
      </w:pPr>
    </w:p>
    <w:p>
      <w:pPr>
        <w:ind w:firstLine="0" w:firstLineChars="0"/>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浙江康复医院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同志，身份证号码：</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，现任我单位</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职务，为我单位法定代表人，特此证明。</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ind w:firstLine="42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58240"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2"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wps:txbx>
                      <wps:bodyPr upright="1"/>
                    </wps:wsp>
                  </a:graphicData>
                </a:graphic>
              </wp:anchor>
            </w:drawing>
          </mc:Choice>
          <mc:Fallback>
            <w:pict>
              <v:shape id="文本框 3" o:spid="_x0000_s1026" o:spt="202" type="#_x0000_t202" style="position:absolute;left:0pt;margin-left:17.3pt;margin-top:10.2pt;height:238.85pt;width:444pt;z-index:251658240;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KGOK2AAAAAkBAAAPAAAAAAAAAAEAIAAAACIAAABkcnMvZG93bnJldi54bWxQ&#10;SwECFAAUAAAACACHTuJA66/Rh/cBAAD3AwAADgAAAAAAAAABACAAAAAnAQAAZHJzL2Uyb0RvYy54&#10;bWxQSwUGAAAAAAYABgBZAQAAkA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pPr>
        <w:ind w:firstLine="42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color w:val="auto"/>
          <w:szCs w:val="21"/>
        </w:rPr>
        <w:br w:type="page"/>
      </w:r>
      <w:r>
        <w:rPr>
          <w:rFonts w:hint="eastAsia" w:cs="宋体" w:asciiTheme="minorEastAsia" w:hAnsiTheme="minorEastAsia" w:eastAsiaTheme="minorEastAsia"/>
          <w:b/>
          <w:color w:val="auto"/>
          <w:sz w:val="32"/>
          <w:szCs w:val="32"/>
        </w:rPr>
        <w:t>法定代表人授权书</w:t>
      </w:r>
    </w:p>
    <w:p>
      <w:pPr>
        <w:ind w:firstLine="0" w:firstLineChars="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浙江康复医院</w:t>
      </w:r>
      <w:r>
        <w:rPr>
          <w:rFonts w:hint="eastAsia" w:cs="宋体" w:asciiTheme="minorEastAsia" w:hAnsiTheme="minorEastAsia" w:eastAsiaTheme="minorEastAsia"/>
          <w:color w:val="auto"/>
          <w:szCs w:val="21"/>
        </w:rPr>
        <w:t>、浙江信镧建设工程咨询有限公司：</w:t>
      </w:r>
    </w:p>
    <w:p>
      <w:pPr>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我以</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（投标人全称）法定代表人的身份授权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（授权委托人姓名）、身份证号</w:t>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 xml:space="preserve"> ，为我单位的授权委托人，参加贵处组织的</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bCs/>
          <w:color w:val="auto"/>
          <w:szCs w:val="21"/>
          <w:u w:val="single"/>
          <w:lang w:eastAsia="zh-CN"/>
        </w:rPr>
        <w:t>检验科设备、天轨康复训练系统</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color w:val="auto"/>
          <w:szCs w:val="21"/>
        </w:rPr>
        <w:t>（采购编号：             ）的采购，全权处理采购活动中的一切事宜，我单位均予承认。</w:t>
      </w:r>
    </w:p>
    <w:p>
      <w:pPr>
        <w:ind w:firstLine="42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adjustRightInd w:val="0"/>
        <w:snapToGrid w:val="0"/>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60288" behindDoc="0" locked="0" layoutInCell="1" allowOverlap="1">
                <wp:simplePos x="0" y="0"/>
                <wp:positionH relativeFrom="column">
                  <wp:posOffset>208915</wp:posOffset>
                </wp:positionH>
                <wp:positionV relativeFrom="paragraph">
                  <wp:posOffset>201295</wp:posOffset>
                </wp:positionV>
                <wp:extent cx="5638800" cy="28047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280453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wps:txbx>
                      <wps:bodyPr upright="1">
                        <a:noAutofit/>
                      </wps:bodyPr>
                    </wps:wsp>
                  </a:graphicData>
                </a:graphic>
              </wp:anchor>
            </w:drawing>
          </mc:Choice>
          <mc:Fallback>
            <w:pict>
              <v:shape id="Text Box 3" o:spid="_x0000_s1026" o:spt="202" type="#_x0000_t202" style="position:absolute;left:0pt;margin-left:16.45pt;margin-top:15.85pt;height:220.85pt;width:444pt;z-index:251660288;mso-width-relative:page;mso-height-relative:page;" fillcolor="#FFFFFF" filled="t" stroked="t" coordsize="21600,21600" o:gfxdata="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ib8Y2QAAAAkBAAAPAAAAAAAAAAEAIAAAACIAAABkcnMvZG93bnJldi54bWxQSwEC&#10;FAAUAAAACACHTuJAWGgnKPMBAAAQBAAADgAAAAAAAAABACAAAAAoAQAAZHJzL2Uyb0RvYy54bWxQ&#10;SwUGAAAAAAYABgBZAQAAjQ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附件五 政府采购诚信承诺书</w:t>
      </w:r>
    </w:p>
    <w:p>
      <w:pPr>
        <w:ind w:firstLine="0" w:firstLineChars="0"/>
        <w:rPr>
          <w:rFonts w:cs="宋体" w:asciiTheme="minorEastAsia" w:hAnsiTheme="minorEastAsia" w:eastAsiaTheme="minorEastAsia"/>
          <w:color w:val="auto"/>
          <w:sz w:val="24"/>
        </w:rPr>
      </w:pPr>
    </w:p>
    <w:p>
      <w:pPr>
        <w:pStyle w:val="41"/>
        <w:jc w:val="center"/>
        <w:rPr>
          <w:color w:val="auto"/>
        </w:rPr>
      </w:pPr>
      <w:r>
        <w:rPr>
          <w:rFonts w:hint="eastAsia"/>
          <w:color w:val="auto"/>
        </w:rPr>
        <w:t>政府采购诚信承诺书</w:t>
      </w:r>
    </w:p>
    <w:p>
      <w:pPr>
        <w:pStyle w:val="52"/>
        <w:ind w:firstLine="420"/>
        <w:rPr>
          <w:rFonts w:asciiTheme="minorEastAsia" w:hAnsiTheme="minorEastAsia" w:eastAsiaTheme="minorEastAsia"/>
          <w:color w:val="auto"/>
          <w:sz w:val="21"/>
          <w:szCs w:val="21"/>
        </w:rPr>
      </w:pPr>
    </w:p>
    <w:p>
      <w:pPr>
        <w:ind w:firstLine="0" w:firstLineChars="0"/>
        <w:rPr>
          <w:rFonts w:cs="宋体" w:asciiTheme="minorEastAsia" w:hAnsiTheme="minorEastAsia" w:eastAsiaTheme="minorEastAsia"/>
          <w:color w:val="auto"/>
          <w:szCs w:val="21"/>
          <w:u w:val="single"/>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（采购人）、</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（采购代理机构）：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我公司</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（投标人名称）已详细阅读了</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u w:val="single"/>
          <w:lang w:eastAsia="zh-CN"/>
        </w:rPr>
        <w:t>检验科设备、天轨康复训练系统</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）的招标文件，自愿参加该项目的采购活动，现就有关事项做出郑重承诺如下：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一、诚信竞争，材料真实。我公司保证所提供的全部材料、内容均真实、合法、有效，保证不出借或者借用其他企业资质，不以他人名义参与采购和竞争，不弄虚作假；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二、遵纪守法，公平竞争。不与其他单位相互串通、哄抬价格，不排挤其他单位，不损害采购人的合法权益；不向评标委员会、采购人、采购代理机构提供利益以牟取中标（成交）。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2.1不向项目有关人员及部门赠送礼金礼物、有价证券、回扣以及中介费、介绍费、咨询费等好处费；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2.2不为项目有关人员及部门报销应由你方单位或个人支付的费用；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2.3不向项目有关人员及部门提供有可能影响公正的宴请和健身娱乐等活动；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2.4不为项目有关人员及部门出国（境）、旅游等提供方便；</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2.5不为项目有关人员个人装修住房、婚丧嫁娶、配偶子女工作安排等提供好处；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2.6严格遵守政府采购法、招标投标法、合同法等法律法规，诚实守信，合法经营，坚决抵制各种违法违纪行为。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若中标（成交）后，将按照规定及时与采购人签订政府采购合同，不与采购人订立有悖于采购结果的合同或协议；严格履行政府采购合同，不降低合同约定的产品质量和服务，不擅自变更、中止、终止合同，或者拒绝履行合同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若有违反以上承诺内容的行为，我公司自愿接受取消竞争资格、记入信用档案、没收参与竞争的保证金、媒体通报、1-3年内禁止参与政府采购等处罚；如已中标（成交）的，自动放弃中标（成交）资格，并承担全部法律责任；给采购人造成损失的，依法承担赔偿责任。</w:t>
      </w:r>
    </w:p>
    <w:p>
      <w:pPr>
        <w:pStyle w:val="2"/>
        <w:ind w:firstLine="210"/>
        <w:rPr>
          <w:rFonts w:asciiTheme="minorEastAsia" w:hAnsiTheme="minorEastAsia" w:eastAsiaTheme="minorEastAsia"/>
          <w:color w:val="auto"/>
        </w:rPr>
      </w:pPr>
    </w:p>
    <w:p>
      <w:pPr>
        <w:pStyle w:val="2"/>
        <w:ind w:firstLine="210"/>
        <w:rPr>
          <w:rFonts w:asciiTheme="minorEastAsia" w:hAnsiTheme="minorEastAsia" w:eastAsiaTheme="minorEastAsia"/>
          <w:color w:val="auto"/>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法定代表人（签字或印章）：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topLinePunct/>
        <w:ind w:firstLine="420"/>
        <w:rPr>
          <w:rFonts w:cs="宋体" w:asciiTheme="minorEastAsia" w:hAnsiTheme="minorEastAsia" w:eastAsiaTheme="minorEastAsia"/>
          <w:color w:val="auto"/>
          <w:szCs w:val="21"/>
        </w:rPr>
      </w:pPr>
    </w:p>
    <w:p>
      <w:pPr>
        <w:topLinePunct/>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备注：若以联合体形式参与采购活动的，联合体各成员应分别填写。</w:t>
      </w:r>
    </w:p>
    <w:p>
      <w:pPr>
        <w:pStyle w:val="2"/>
        <w:ind w:firstLine="210"/>
        <w:rPr>
          <w:rFonts w:asciiTheme="minorEastAsia" w:hAnsiTheme="minorEastAsia" w:eastAsiaTheme="minorEastAsia"/>
          <w:color w:val="auto"/>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snapToGrid w:val="0"/>
        <w:spacing w:before="50" w:after="120" w:afterLines="50" w:line="360" w:lineRule="auto"/>
        <w:ind w:left="0" w:leftChars="0" w:firstLine="0" w:firstLineChars="0"/>
        <w:jc w:val="left"/>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附件</w:t>
      </w:r>
      <w:r>
        <w:rPr>
          <w:rFonts w:hint="eastAsia" w:ascii="宋体" w:hAnsi="宋体" w:cs="宋体"/>
          <w:b/>
          <w:color w:val="auto"/>
          <w:sz w:val="21"/>
          <w:szCs w:val="21"/>
          <w:lang w:eastAsia="zh-CN"/>
        </w:rPr>
        <w:t>六</w:t>
      </w:r>
      <w:r>
        <w:rPr>
          <w:rFonts w:hint="eastAsia" w:ascii="宋体" w:hAnsi="宋体" w:eastAsia="宋体" w:cs="宋体"/>
          <w:b/>
          <w:color w:val="auto"/>
          <w:sz w:val="21"/>
          <w:szCs w:val="21"/>
          <w:lang w:val="en-US" w:eastAsia="zh-CN"/>
        </w:rPr>
        <w:t xml:space="preserve"> </w:t>
      </w:r>
      <w:r>
        <w:rPr>
          <w:rFonts w:hint="eastAsia" w:ascii="宋体" w:hAnsi="宋体" w:eastAsia="宋体" w:cs="宋体"/>
          <w:b/>
          <w:color w:val="auto"/>
          <w:sz w:val="21"/>
          <w:szCs w:val="21"/>
        </w:rPr>
        <w:t>投标声明书格式</w:t>
      </w:r>
    </w:p>
    <w:p>
      <w:pPr>
        <w:snapToGrid w:val="0"/>
        <w:spacing w:before="120" w:beforeLines="50" w:after="50"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投标声明书</w:t>
      </w:r>
    </w:p>
    <w:p>
      <w:pPr>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致：</w:t>
      </w:r>
      <w:r>
        <w:rPr>
          <w:rFonts w:hint="eastAsia" w:ascii="宋体" w:hAnsi="宋体" w:cs="宋体"/>
          <w:color w:val="auto"/>
          <w:sz w:val="21"/>
          <w:szCs w:val="21"/>
          <w:lang w:val="en-US" w:eastAsia="zh-CN"/>
        </w:rPr>
        <w:t xml:space="preserve"> </w:t>
      </w:r>
      <w:r>
        <w:rPr>
          <w:rFonts w:hint="eastAsia" w:ascii="宋体" w:hAnsi="宋体" w:cs="宋体"/>
          <w:color w:val="auto"/>
          <w:sz w:val="21"/>
          <w:szCs w:val="21"/>
          <w:u w:val="single"/>
          <w:lang w:val="en-US" w:eastAsia="zh-CN"/>
        </w:rPr>
        <w:t xml:space="preserve">                 </w:t>
      </w:r>
    </w:p>
    <w:p>
      <w:pPr>
        <w:pageBreakBefore w:val="0"/>
        <w:widowControl w:val="0"/>
        <w:kinsoku/>
        <w:wordWrap/>
        <w:overflowPunct/>
        <w:topLinePunct w:val="0"/>
        <w:autoSpaceDE/>
        <w:autoSpaceDN/>
        <w:bidi w:val="0"/>
        <w:adjustRightInd/>
        <w:snapToGrid w:val="0"/>
        <w:spacing w:before="120" w:beforeLines="50" w:after="50" w:line="360" w:lineRule="auto"/>
        <w:ind w:firstLine="630" w:firstLineChars="3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_</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（投标人名称）系中华人民共和国合法企业，经营地址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autoSpaceDE/>
        <w:autoSpaceDN/>
        <w:bidi w:val="0"/>
        <w:adjustRightInd/>
        <w:snapToGrid w:val="0"/>
        <w:spacing w:before="120" w:beforeLines="50" w:after="5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我方愿意参加贵方组织的</w:t>
      </w:r>
      <w:r>
        <w:rPr>
          <w:rFonts w:hint="eastAsia" w:ascii="宋体" w:hAnsi="宋体" w:eastAsia="宋体" w:cs="宋体"/>
          <w:color w:val="auto"/>
          <w:sz w:val="21"/>
          <w:szCs w:val="21"/>
          <w:u w:val="none"/>
        </w:rPr>
        <w:t>____</w:t>
      </w:r>
      <w:r>
        <w:rPr>
          <w:rFonts w:hint="eastAsia" w:ascii="宋体" w:hAnsi="宋体" w:eastAsia="宋体" w:cs="宋体"/>
          <w:color w:val="auto"/>
          <w:sz w:val="21"/>
          <w:szCs w:val="21"/>
          <w:u w:val="single"/>
        </w:rPr>
        <w:t>_</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项目的投标，为便于贵方公正、择优地确定中标人及其投标产品和服务，我方就参加本次投标有关事项郑重声明如下：</w:t>
      </w:r>
    </w:p>
    <w:p>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.我方向贵方提交的所有投标文件、资料都是准确的和真实的</w:t>
      </w:r>
      <w:r>
        <w:rPr>
          <w:rFonts w:hint="eastAsia" w:ascii="宋体" w:hAnsi="宋体" w:cs="宋体"/>
          <w:color w:val="auto"/>
          <w:sz w:val="21"/>
          <w:szCs w:val="21"/>
          <w:lang w:eastAsia="zh-CN"/>
        </w:rPr>
        <w:t>；</w:t>
      </w:r>
    </w:p>
    <w:p>
      <w:pPr>
        <w:pageBreakBefore w:val="0"/>
        <w:widowControl w:val="0"/>
        <w:kinsoku/>
        <w:wordWrap/>
        <w:overflowPunct/>
        <w:topLinePunct w:val="0"/>
        <w:autoSpaceDE/>
        <w:autoSpaceDN/>
        <w:bidi w:val="0"/>
        <w:adjustRightInd/>
        <w:snapToGrid w:val="0"/>
        <w:spacing w:before="120" w:beforeLines="50"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.我方不是采购人的附属机构；</w:t>
      </w:r>
    </w:p>
    <w:p>
      <w:pPr>
        <w:pageBreakBefore w:val="0"/>
        <w:widowControl w:val="0"/>
        <w:kinsoku/>
        <w:wordWrap/>
        <w:overflowPunct/>
        <w:topLinePunct w:val="0"/>
        <w:autoSpaceDE/>
        <w:autoSpaceDN/>
        <w:bidi w:val="0"/>
        <w:adjustRightInd/>
        <w:snapToGrid w:val="0"/>
        <w:spacing w:before="120" w:beforeLines="50"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 我方参加本采购项目的整体设计、规范编制或者项目管理、监理、检测等服务情况：</w:t>
      </w:r>
      <w:r>
        <w:rPr>
          <w:rFonts w:hint="eastAsia" w:ascii="宋体" w:hAnsi="宋体" w:cs="宋体"/>
          <w:color w:val="auto"/>
          <w:sz w:val="21"/>
          <w:szCs w:val="21"/>
          <w:u w:val="single"/>
          <w:lang w:eastAsia="zh-CN"/>
        </w:rPr>
        <w:t>有或无</w:t>
      </w:r>
      <w:r>
        <w:rPr>
          <w:rFonts w:hint="eastAsia" w:ascii="宋体" w:hAnsi="宋体" w:eastAsia="宋体" w:cs="宋体"/>
          <w:color w:val="auto"/>
          <w:sz w:val="21"/>
          <w:szCs w:val="21"/>
          <w:u w:val="single"/>
        </w:rPr>
        <w:t>　</w:t>
      </w:r>
      <w:r>
        <w:rPr>
          <w:rFonts w:hint="eastAsia" w:ascii="宋体" w:hAnsi="宋体" w:cs="宋体"/>
          <w:color w:val="auto"/>
          <w:sz w:val="21"/>
          <w:szCs w:val="21"/>
          <w:u w:val="single"/>
          <w:lang w:eastAsia="zh-CN"/>
        </w:rPr>
        <w:t>；</w:t>
      </w:r>
      <w:r>
        <w:rPr>
          <w:rFonts w:hint="eastAsia" w:ascii="宋体" w:hAnsi="宋体" w:eastAsia="宋体" w:cs="宋体"/>
          <w:color w:val="auto"/>
          <w:sz w:val="21"/>
          <w:szCs w:val="21"/>
          <w:u w:val="single"/>
        </w:rPr>
        <w:t>　　　　　　　　　　　　　　　　　　　　　　　</w:t>
      </w:r>
    </w:p>
    <w:p>
      <w:pPr>
        <w:pageBreakBefore w:val="0"/>
        <w:widowControl w:val="0"/>
        <w:kinsoku/>
        <w:wordWrap/>
        <w:overflowPunct/>
        <w:topLinePunct w:val="0"/>
        <w:autoSpaceDE/>
        <w:autoSpaceDN/>
        <w:bidi w:val="0"/>
        <w:adjustRightInd/>
        <w:snapToGrid w:val="0"/>
        <w:spacing w:before="120" w:beforeLines="50"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我方直接控股的单位、由我方管理的单位，没有同时参加本</w:t>
      </w:r>
      <w:r>
        <w:rPr>
          <w:rFonts w:hint="eastAsia" w:ascii="宋体" w:hAnsi="宋体" w:eastAsia="宋体" w:cs="宋体"/>
          <w:color w:val="auto"/>
          <w:sz w:val="21"/>
          <w:szCs w:val="21"/>
        </w:rPr>
        <w:t>合同项下</w:t>
      </w:r>
      <w:r>
        <w:rPr>
          <w:rFonts w:hint="eastAsia" w:ascii="宋体" w:hAnsi="宋体" w:eastAsia="宋体" w:cs="宋体"/>
          <w:color w:val="auto"/>
          <w:kern w:val="0"/>
          <w:sz w:val="21"/>
          <w:szCs w:val="21"/>
        </w:rPr>
        <w:t>的投标</w:t>
      </w:r>
      <w:r>
        <w:rPr>
          <w:rFonts w:hint="eastAsia" w:ascii="宋体" w:hAnsi="宋体" w:cs="宋体"/>
          <w:color w:val="auto"/>
          <w:kern w:val="0"/>
          <w:sz w:val="21"/>
          <w:szCs w:val="21"/>
          <w:lang w:eastAsia="zh-CN"/>
        </w:rPr>
        <w:t>；</w:t>
      </w:r>
    </w:p>
    <w:p>
      <w:pPr>
        <w:pageBreakBefore w:val="0"/>
        <w:widowControl w:val="0"/>
        <w:kinsoku/>
        <w:wordWrap/>
        <w:overflowPunct/>
        <w:topLinePunct w:val="0"/>
        <w:autoSpaceDE/>
        <w:autoSpaceDN/>
        <w:bidi w:val="0"/>
        <w:adjustRightInd/>
        <w:snapToGrid w:val="0"/>
        <w:spacing w:before="120" w:beforeLines="50"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.我方</w:t>
      </w:r>
      <w:r>
        <w:rPr>
          <w:rFonts w:hint="eastAsia" w:ascii="宋体" w:hAnsi="宋体" w:eastAsia="宋体" w:cs="宋体"/>
          <w:color w:val="auto"/>
          <w:kern w:val="0"/>
          <w:sz w:val="21"/>
          <w:szCs w:val="21"/>
        </w:rPr>
        <w:t>参加本次政府采购活动前三年内，在经营活动中的重大违法记录</w:t>
      </w:r>
      <w:r>
        <w:rPr>
          <w:rFonts w:hint="eastAsia" w:ascii="宋体" w:hAnsi="宋体" w:eastAsia="宋体" w:cs="宋体"/>
          <w:color w:val="auto"/>
          <w:sz w:val="21"/>
          <w:szCs w:val="21"/>
        </w:rPr>
        <w:t>：</w:t>
      </w:r>
    </w:p>
    <w:p>
      <w:pPr>
        <w:pageBreakBefore w:val="0"/>
        <w:widowControl w:val="0"/>
        <w:kinsoku/>
        <w:wordWrap/>
        <w:overflowPunct/>
        <w:topLinePunct w:val="0"/>
        <w:autoSpaceDE/>
        <w:autoSpaceDN/>
        <w:bidi w:val="0"/>
        <w:adjustRightInd/>
        <w:snapToGrid w:val="0"/>
        <w:spacing w:before="120" w:beforeLines="50" w:line="360" w:lineRule="auto"/>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w:t>
      </w:r>
      <w:r>
        <w:rPr>
          <w:rFonts w:hint="eastAsia" w:ascii="宋体" w:hAnsi="宋体" w:cs="宋体"/>
          <w:color w:val="auto"/>
          <w:sz w:val="21"/>
          <w:szCs w:val="21"/>
          <w:u w:val="single"/>
          <w:lang w:eastAsia="zh-CN"/>
        </w:rPr>
        <w:t>有或无</w:t>
      </w:r>
      <w:r>
        <w:rPr>
          <w:rFonts w:hint="eastAsia" w:ascii="宋体" w:hAnsi="宋体" w:eastAsia="宋体" w:cs="宋体"/>
          <w:color w:val="auto"/>
          <w:sz w:val="21"/>
          <w:szCs w:val="21"/>
          <w:u w:val="single"/>
        </w:rPr>
        <w:t>　　　　　　　</w:t>
      </w:r>
    </w:p>
    <w:p>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.以上事项如有虚假或隐瞒，我方愿意承担一切后果，并不再寻求任何旨在减轻或免除法律责任的辩解。</w:t>
      </w:r>
    </w:p>
    <w:p>
      <w:pPr>
        <w:pageBreakBefore w:val="0"/>
        <w:widowControl w:val="0"/>
        <w:kinsoku/>
        <w:wordWrap/>
        <w:overflowPunct/>
        <w:topLinePunct w:val="0"/>
        <w:autoSpaceDE/>
        <w:autoSpaceDN/>
        <w:bidi w:val="0"/>
        <w:adjustRightInd/>
        <w:snapToGrid w:val="0"/>
        <w:spacing w:before="120" w:beforeLines="50" w:line="360" w:lineRule="auto"/>
        <w:ind w:firstLine="200"/>
        <w:textAlignment w:val="auto"/>
        <w:rPr>
          <w:rFonts w:hint="eastAsia" w:ascii="宋体" w:hAnsi="宋体" w:eastAsia="宋体" w:cs="宋体"/>
          <w:color w:val="auto"/>
          <w:sz w:val="21"/>
          <w:szCs w:val="21"/>
        </w:rPr>
      </w:pPr>
    </w:p>
    <w:p>
      <w:pPr>
        <w:pStyle w:val="2"/>
        <w:pageBreakBefore w:val="0"/>
        <w:widowControl w:val="0"/>
        <w:kinsoku/>
        <w:wordWrap/>
        <w:overflowPunct/>
        <w:topLinePunct w:val="0"/>
        <w:autoSpaceDE/>
        <w:autoSpaceDN/>
        <w:bidi w:val="0"/>
        <w:adjustRightInd/>
        <w:spacing w:line="360" w:lineRule="auto"/>
        <w:textAlignment w:val="auto"/>
        <w:rPr>
          <w:rFonts w:hint="eastAsia"/>
          <w:color w:val="auto"/>
        </w:rPr>
      </w:pPr>
    </w:p>
    <w:p>
      <w:pPr>
        <w:pageBreakBefore w:val="0"/>
        <w:widowControl w:val="0"/>
        <w:kinsoku/>
        <w:wordWrap/>
        <w:overflowPunct/>
        <w:topLinePunct w:val="0"/>
        <w:autoSpaceDE/>
        <w:autoSpaceDN/>
        <w:bidi w:val="0"/>
        <w:adjustRightInd/>
        <w:snapToGrid w:val="0"/>
        <w:spacing w:before="120" w:beforeLines="50" w:line="360" w:lineRule="auto"/>
        <w:ind w:firstLine="200"/>
        <w:textAlignment w:val="auto"/>
        <w:rPr>
          <w:rFonts w:hint="eastAsia" w:ascii="宋体" w:hAnsi="宋体" w:eastAsia="宋体" w:cs="宋体"/>
          <w:color w:val="auto"/>
          <w:sz w:val="21"/>
          <w:szCs w:val="21"/>
        </w:rPr>
      </w:pPr>
    </w:p>
    <w:p>
      <w:pPr>
        <w:pageBreakBefore w:val="0"/>
        <w:widowControl w:val="0"/>
        <w:kinsoku/>
        <w:wordWrap/>
        <w:overflowPunct/>
        <w:topLinePunct w:val="0"/>
        <w:autoSpaceDE/>
        <w:autoSpaceDN/>
        <w:bidi w:val="0"/>
        <w:adjustRightInd/>
        <w:snapToGrid w:val="0"/>
        <w:spacing w:before="120" w:beforeLines="50" w:line="360" w:lineRule="auto"/>
        <w:ind w:firstLine="200"/>
        <w:textAlignment w:val="auto"/>
        <w:rPr>
          <w:rFonts w:hint="eastAsia" w:ascii="宋体" w:hAnsi="宋体" w:eastAsia="宋体" w:cs="宋体"/>
          <w:color w:val="auto"/>
          <w:sz w:val="21"/>
          <w:szCs w:val="21"/>
        </w:rPr>
      </w:pPr>
    </w:p>
    <w:p>
      <w:pPr>
        <w:pageBreakBefore w:val="0"/>
        <w:widowControl w:val="0"/>
        <w:kinsoku/>
        <w:wordWrap/>
        <w:overflowPunct/>
        <w:topLinePunct w:val="0"/>
        <w:autoSpaceDE/>
        <w:autoSpaceDN/>
        <w:bidi w:val="0"/>
        <w:adjustRightInd/>
        <w:snapToGrid w:val="0"/>
        <w:spacing w:before="120" w:beforeLines="50" w:line="360" w:lineRule="auto"/>
        <w:ind w:firstLine="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法定代表人或授权委托人：</w:t>
      </w:r>
      <w:r>
        <w:rPr>
          <w:rFonts w:hint="eastAsia" w:ascii="宋体" w:hAnsi="宋体" w:eastAsia="宋体" w:cs="宋体"/>
          <w:color w:val="auto"/>
          <w:sz w:val="21"/>
          <w:szCs w:val="21"/>
          <w:u w:val="single"/>
        </w:rPr>
        <w:t xml:space="preserve">     （签字或盖章） </w:t>
      </w:r>
    </w:p>
    <w:p>
      <w:pPr>
        <w:pageBreakBefore w:val="0"/>
        <w:widowControl w:val="0"/>
        <w:kinsoku/>
        <w:wordWrap/>
        <w:overflowPunct/>
        <w:topLinePunct w:val="0"/>
        <w:autoSpaceDE/>
        <w:autoSpaceDN/>
        <w:bidi w:val="0"/>
        <w:adjustRightInd/>
        <w:snapToGrid w:val="0"/>
        <w:spacing w:before="50" w:after="50" w:line="360" w:lineRule="auto"/>
        <w:textAlignment w:val="auto"/>
        <w:rPr>
          <w:rFonts w:hint="eastAsia" w:ascii="宋体" w:hAnsi="宋体" w:eastAsia="宋体" w:cs="宋体"/>
          <w:color w:val="auto"/>
          <w:sz w:val="21"/>
          <w:szCs w:val="21"/>
        </w:rPr>
      </w:pPr>
    </w:p>
    <w:p>
      <w:pPr>
        <w:pageBreakBefore w:val="0"/>
        <w:widowControl w:val="0"/>
        <w:kinsoku/>
        <w:wordWrap/>
        <w:overflowPunct/>
        <w:topLinePunct w:val="0"/>
        <w:autoSpaceDE/>
        <w:autoSpaceDN/>
        <w:bidi w:val="0"/>
        <w:adjustRightInd/>
        <w:snapToGrid w:val="0"/>
        <w:spacing w:before="50" w:after="50" w:line="360" w:lineRule="auto"/>
        <w:ind w:firstLine="420" w:firstLineChars="200"/>
        <w:textAlignment w:val="auto"/>
        <w:rPr>
          <w:rFonts w:hint="eastAsia" w:ascii="宋体" w:hAnsi="宋体" w:eastAsia="宋体" w:cs="宋体"/>
          <w:color w:val="auto"/>
          <w:sz w:val="21"/>
          <w:szCs w:val="21"/>
        </w:rPr>
      </w:pPr>
    </w:p>
    <w:p>
      <w:pPr>
        <w:pageBreakBefore w:val="0"/>
        <w:widowControl w:val="0"/>
        <w:kinsoku/>
        <w:wordWrap/>
        <w:overflowPunct/>
        <w:topLinePunct w:val="0"/>
        <w:autoSpaceDE/>
        <w:autoSpaceDN/>
        <w:bidi w:val="0"/>
        <w:adjustRightInd/>
        <w:snapToGrid w:val="0"/>
        <w:spacing w:before="50" w:after="5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 xml:space="preserve">       （盖章）        </w:t>
      </w:r>
      <w:r>
        <w:rPr>
          <w:rFonts w:hint="eastAsia" w:ascii="宋体" w:hAnsi="宋体" w:eastAsia="宋体" w:cs="宋体"/>
          <w:color w:val="auto"/>
          <w:sz w:val="21"/>
          <w:szCs w:val="21"/>
        </w:rPr>
        <w:t xml:space="preserve">                      年    月    日</w:t>
      </w:r>
    </w:p>
    <w:p>
      <w:pPr>
        <w:pStyle w:val="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sz w:val="21"/>
          <w:szCs w:val="21"/>
          <w:lang w:eastAsia="zh-CN"/>
        </w:rPr>
      </w:pPr>
    </w:p>
    <w:p>
      <w:pPr>
        <w:pStyle w:val="6"/>
        <w:rPr>
          <w:rFonts w:hint="eastAsia" w:ascii="宋体" w:hAnsi="宋体" w:eastAsia="宋体" w:cs="宋体"/>
          <w:b/>
          <w:color w:val="auto"/>
          <w:sz w:val="21"/>
          <w:szCs w:val="21"/>
          <w:lang w:eastAsia="zh-CN"/>
        </w:rPr>
      </w:pPr>
    </w:p>
    <w:p>
      <w:pPr>
        <w:pStyle w:val="6"/>
        <w:rPr>
          <w:rFonts w:hint="eastAsia" w:ascii="宋体" w:hAnsi="宋体" w:eastAsia="宋体" w:cs="宋体"/>
          <w:b/>
          <w:color w:val="auto"/>
          <w:sz w:val="21"/>
          <w:szCs w:val="21"/>
          <w:lang w:eastAsia="zh-CN"/>
        </w:rPr>
      </w:pPr>
    </w:p>
    <w:p>
      <w:pPr>
        <w:pStyle w:val="6"/>
        <w:rPr>
          <w:rFonts w:hint="eastAsia" w:ascii="宋体" w:hAnsi="宋体" w:eastAsia="宋体" w:cs="宋体"/>
          <w:b/>
          <w:color w:val="auto"/>
          <w:sz w:val="21"/>
          <w:szCs w:val="21"/>
          <w:lang w:eastAsia="zh-CN"/>
        </w:rPr>
      </w:pPr>
    </w:p>
    <w:p>
      <w:pPr>
        <w:pStyle w:val="6"/>
        <w:ind w:firstLine="422" w:firstLineChars="200"/>
        <w:rPr>
          <w:color w:val="auto"/>
        </w:rPr>
        <w:sectPr>
          <w:pgSz w:w="11907" w:h="16840"/>
          <w:pgMar w:top="1247" w:right="1304" w:bottom="1020" w:left="1304" w:header="720" w:footer="720" w:gutter="0"/>
          <w:cols w:space="720" w:num="1"/>
          <w:docGrid w:linePitch="286" w:charSpace="0"/>
        </w:sectPr>
      </w:pPr>
      <w:r>
        <w:rPr>
          <w:rFonts w:hint="eastAsia" w:ascii="宋体" w:hAnsi="宋体" w:eastAsia="宋体" w:cs="宋体"/>
          <w:b/>
          <w:color w:val="auto"/>
          <w:sz w:val="21"/>
          <w:szCs w:val="21"/>
          <w:lang w:eastAsia="zh-CN"/>
        </w:rPr>
        <w:t>备注：第</w:t>
      </w:r>
      <w:r>
        <w:rPr>
          <w:rFonts w:hint="eastAsia" w:ascii="宋体" w:hAnsi="宋体" w:eastAsia="宋体" w:cs="宋体"/>
          <w:b/>
          <w:color w:val="auto"/>
          <w:sz w:val="21"/>
          <w:szCs w:val="21"/>
          <w:lang w:val="en-US" w:eastAsia="zh-CN"/>
        </w:rPr>
        <w:t>3条，第5条如填写“有”，资格审查不合格。</w:t>
      </w:r>
      <w:r>
        <w:rPr>
          <w:rFonts w:hint="eastAsia" w:ascii="宋体" w:hAnsi="宋体" w:eastAsia="宋体" w:cs="宋体"/>
          <w:b/>
          <w:color w:val="auto"/>
          <w:sz w:val="21"/>
          <w:szCs w:val="21"/>
        </w:rPr>
        <w:br w:type="page"/>
      </w:r>
    </w:p>
    <w:p>
      <w:pPr>
        <w:pStyle w:val="6"/>
        <w:rPr>
          <w:color w:val="auto"/>
        </w:rPr>
      </w:pPr>
      <w:r>
        <w:rPr>
          <w:rFonts w:hint="eastAsia"/>
          <w:color w:val="auto"/>
        </w:rPr>
        <w:t>附件七 中小企业声明函（如有）</w:t>
      </w:r>
    </w:p>
    <w:p>
      <w:pPr>
        <w:ind w:firstLine="420"/>
        <w:rPr>
          <w:rFonts w:cs="宋体" w:asciiTheme="minorEastAsia" w:hAnsiTheme="minorEastAsia" w:eastAsiaTheme="minorEastAsia"/>
          <w:color w:val="auto"/>
        </w:rPr>
      </w:pPr>
    </w:p>
    <w:p>
      <w:pPr>
        <w:ind w:firstLine="0" w:firstLineChars="0"/>
        <w:jc w:val="center"/>
        <w:rPr>
          <w:rFonts w:cs="宋体"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中小企业声明函</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本公司郑重声明，根据《政府采购促进中小企业发展暂行办法》（财库〔2011〕181号）的规定，本公司为    （请填写：中型、小型、微型）企业。即，本公司同时满足以下条件：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1.根据《工业和信息化部、国家统计局、国家发展和改革委员会、财政部关于印发中小企业划型标准规定的通知》（工信部联企业〔2011〕300号）规定的划分标准，本公司为    （请填写：中型、小型、微型）企业。</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2.本公司参加         单位的      项目采购活动提供本企业制造的货物，由本企业承担工程、提供服务，或者提供其他（请填写：中型、小型、微型）企业制造的货物。本条所称货物不包括使用大型企业注册商标的货物。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本公司对上述声明的真实性负责。如有虚假，将依法承担相应责任。</w:t>
      </w:r>
    </w:p>
    <w:p>
      <w:pPr>
        <w:ind w:firstLine="420"/>
        <w:jc w:val="right"/>
        <w:rPr>
          <w:rFonts w:cs="宋体" w:asciiTheme="minorEastAsia" w:hAnsiTheme="minorEastAsia" w:eastAsiaTheme="minorEastAsia"/>
          <w:color w:val="auto"/>
          <w:szCs w:val="21"/>
        </w:rPr>
      </w:pPr>
    </w:p>
    <w:p>
      <w:pPr>
        <w:ind w:firstLine="420"/>
        <w:jc w:val="right"/>
        <w:rPr>
          <w:rFonts w:cs="宋体" w:asciiTheme="minorEastAsia" w:hAnsiTheme="minorEastAsia" w:eastAsiaTheme="minorEastAsia"/>
          <w:color w:val="auto"/>
          <w:szCs w:val="21"/>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投标人全称（盖章）：</w:t>
      </w:r>
    </w:p>
    <w:p>
      <w:pPr>
        <w:ind w:right="630" w:firstLine="42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docGrid w:linePitch="286" w:charSpace="0"/>
        </w:sectPr>
      </w:pPr>
      <w:r>
        <w:rPr>
          <w:rFonts w:hint="eastAsia" w:cs="宋体" w:asciiTheme="minorEastAsia" w:hAnsiTheme="minorEastAsia" w:eastAsiaTheme="minorEastAsia"/>
          <w:color w:val="auto"/>
          <w:szCs w:val="21"/>
        </w:rPr>
        <w:t>日期：</w:t>
      </w:r>
    </w:p>
    <w:p>
      <w:pPr>
        <w:pStyle w:val="6"/>
        <w:rPr>
          <w:color w:val="auto"/>
        </w:rPr>
      </w:pPr>
      <w:r>
        <w:rPr>
          <w:rFonts w:hint="eastAsia"/>
          <w:color w:val="auto"/>
        </w:rPr>
        <w:t>附件八 残疾人福利性单位声明函（如有）</w:t>
      </w:r>
    </w:p>
    <w:p>
      <w:pPr>
        <w:ind w:firstLine="420"/>
        <w:rPr>
          <w:color w:val="auto"/>
        </w:rPr>
      </w:pPr>
    </w:p>
    <w:p>
      <w:pPr>
        <w:pStyle w:val="2"/>
        <w:ind w:firstLine="210"/>
        <w:rPr>
          <w:color w:val="auto"/>
        </w:rPr>
      </w:pPr>
    </w:p>
    <w:p>
      <w:pPr>
        <w:ind w:firstLine="0" w:firstLineChars="0"/>
        <w:jc w:val="center"/>
        <w:rPr>
          <w:b/>
          <w:color w:val="auto"/>
          <w:sz w:val="24"/>
        </w:rPr>
      </w:pPr>
      <w:r>
        <w:rPr>
          <w:rFonts w:hint="eastAsia"/>
          <w:b/>
          <w:color w:val="auto"/>
          <w:sz w:val="24"/>
        </w:rPr>
        <w:t>残疾人福利性单位声明函</w:t>
      </w:r>
    </w:p>
    <w:p>
      <w:pPr>
        <w:ind w:firstLine="420"/>
        <w:rPr>
          <w:color w:val="auto"/>
          <w:szCs w:val="21"/>
        </w:rPr>
      </w:pPr>
      <w:r>
        <w:rPr>
          <w:rFonts w:hint="eastAsia"/>
          <w:color w:val="auto"/>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rPr>
          <w:color w:val="auto"/>
          <w:szCs w:val="21"/>
        </w:rPr>
      </w:pPr>
      <w:r>
        <w:rPr>
          <w:rFonts w:hint="eastAsia"/>
          <w:color w:val="auto"/>
          <w:szCs w:val="21"/>
        </w:rPr>
        <w:t>本单位对上述声明的真实性负责。如有虚假，将依法承担相应责任。</w:t>
      </w:r>
    </w:p>
    <w:p>
      <w:pPr>
        <w:ind w:firstLine="420"/>
        <w:rPr>
          <w:color w:val="auto"/>
          <w:szCs w:val="21"/>
        </w:rPr>
      </w:pPr>
    </w:p>
    <w:p>
      <w:pPr>
        <w:ind w:firstLine="420"/>
        <w:rPr>
          <w:color w:val="auto"/>
          <w:szCs w:val="21"/>
        </w:rPr>
      </w:pPr>
    </w:p>
    <w:p>
      <w:pPr>
        <w:ind w:firstLine="420"/>
        <w:jc w:val="right"/>
        <w:rPr>
          <w:color w:val="auto"/>
          <w:szCs w:val="21"/>
        </w:rPr>
      </w:pPr>
      <w:r>
        <w:rPr>
          <w:rFonts w:hint="eastAsia"/>
          <w:color w:val="auto"/>
          <w:szCs w:val="21"/>
        </w:rPr>
        <w:t xml:space="preserve">               单位名称（盖章）：</w:t>
      </w:r>
    </w:p>
    <w:p>
      <w:pPr>
        <w:ind w:firstLine="420"/>
        <w:jc w:val="right"/>
        <w:rPr>
          <w:color w:val="auto"/>
          <w:szCs w:val="21"/>
        </w:rPr>
      </w:pPr>
      <w:r>
        <w:rPr>
          <w:rFonts w:hint="eastAsia"/>
          <w:color w:val="auto"/>
          <w:szCs w:val="21"/>
        </w:rPr>
        <w:t xml:space="preserve">       日  期：</w:t>
      </w:r>
    </w:p>
    <w:p>
      <w:pPr>
        <w:snapToGrid w:val="0"/>
        <w:ind w:firstLine="527" w:firstLineChars="250"/>
        <w:rPr>
          <w:rFonts w:ascii="宋体" w:hAnsi="宋体"/>
          <w:b/>
          <w:color w:val="auto"/>
          <w:szCs w:val="21"/>
        </w:rPr>
      </w:pPr>
    </w:p>
    <w:p>
      <w:pPr>
        <w:adjustRightInd w:val="0"/>
        <w:snapToGrid w:val="0"/>
        <w:ind w:firstLine="315" w:firstLineChars="150"/>
        <w:rPr>
          <w:rFonts w:ascii="宋体"/>
          <w:b/>
          <w:color w:val="auto"/>
          <w:sz w:val="28"/>
          <w:szCs w:val="28"/>
        </w:rPr>
        <w:sectPr>
          <w:pgSz w:w="11907" w:h="16840"/>
          <w:pgMar w:top="1247" w:right="1304" w:bottom="1021" w:left="1304" w:header="720" w:footer="720" w:gutter="0"/>
          <w:cols w:space="720" w:num="1"/>
          <w:docGrid w:linePitch="286" w:charSpace="0"/>
        </w:sectPr>
      </w:pPr>
      <w:r>
        <w:rPr>
          <w:rFonts w:hint="eastAsia"/>
          <w:color w:val="auto"/>
        </w:rPr>
        <w:t>备注：非残疾人福利性单位无需提供此函。</w:t>
      </w:r>
    </w:p>
    <w:p>
      <w:pPr>
        <w:pStyle w:val="6"/>
        <w:rPr>
          <w:color w:val="auto"/>
        </w:rPr>
      </w:pPr>
      <w:r>
        <w:rPr>
          <w:rFonts w:hint="eastAsia"/>
          <w:color w:val="auto"/>
        </w:rPr>
        <w:t>附件九 技术条款偏离表</w:t>
      </w:r>
    </w:p>
    <w:p>
      <w:pPr>
        <w:ind w:firstLine="555" w:firstLineChars="0"/>
        <w:rPr>
          <w:rFonts w:cs="宋体" w:asciiTheme="minorEastAsia" w:hAnsiTheme="minorEastAsia" w:eastAsiaTheme="minorEastAsia"/>
          <w:b/>
          <w:bCs/>
          <w:iCs/>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技术（服务）条款偏离表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项目名称：                 采购编号：                   </w:t>
      </w:r>
    </w:p>
    <w:tbl>
      <w:tblPr>
        <w:tblStyle w:val="26"/>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699"/>
        <w:gridCol w:w="4699"/>
        <w:gridCol w:w="2313"/>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6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投标文件响应（逐条逐项列示投标产品的具体</w:t>
            </w:r>
            <w:r>
              <w:rPr>
                <w:rFonts w:hint="eastAsia" w:asciiTheme="minorEastAsia" w:hAnsiTheme="minorEastAsia" w:eastAsiaTheme="minorEastAsia"/>
                <w:color w:val="auto"/>
                <w:szCs w:val="21"/>
              </w:rPr>
              <w:t>技术性能指标和参数等响应内容</w:t>
            </w:r>
            <w:r>
              <w:rPr>
                <w:rFonts w:hint="eastAsia" w:cs="宋体" w:asciiTheme="minorEastAsia" w:hAnsiTheme="minorEastAsia" w:eastAsiaTheme="minorEastAsia"/>
                <w:color w:val="auto"/>
                <w:spacing w:val="20"/>
                <w:szCs w:val="21"/>
              </w:rPr>
              <w:t>）</w:t>
            </w:r>
          </w:p>
        </w:tc>
        <w:tc>
          <w:tcPr>
            <w:tcW w:w="231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169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日期：   </w:t>
      </w:r>
    </w:p>
    <w:p>
      <w:pPr>
        <w:widowControl/>
        <w:ind w:firstLine="0" w:firstLineChars="0"/>
        <w:jc w:val="left"/>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spacing w:val="20"/>
        </w:rPr>
      </w:pPr>
      <w:r>
        <w:rPr>
          <w:rFonts w:hint="eastAsia"/>
          <w:color w:val="auto"/>
        </w:rPr>
        <w:t>附件十 商务条款偏离表</w:t>
      </w:r>
    </w:p>
    <w:p>
      <w:pPr>
        <w:ind w:firstLine="0" w:firstLineChars="0"/>
        <w:rPr>
          <w:rFonts w:cs="宋体" w:asciiTheme="minorEastAsia" w:hAnsiTheme="minorEastAsia" w:eastAsiaTheme="minorEastAsia"/>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商务条款偏离表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项名称目：                          采购编号：                  </w:t>
      </w:r>
    </w:p>
    <w:tbl>
      <w:tblPr>
        <w:tblStyle w:val="26"/>
        <w:tblW w:w="1407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819"/>
        <w:gridCol w:w="4916"/>
        <w:gridCol w:w="146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81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91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投标文件响应（逐条逐项列示响应内容）</w:t>
            </w:r>
          </w:p>
        </w:tc>
        <w:tc>
          <w:tcPr>
            <w:tcW w:w="146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21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授权委托人（签字或盖章）：                        日期：</w:t>
      </w:r>
    </w:p>
    <w:p>
      <w:pPr>
        <w:ind w:firstLine="502"/>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rPr>
      </w:pPr>
      <w:r>
        <w:rPr>
          <w:rFonts w:hint="eastAsia"/>
          <w:color w:val="auto"/>
        </w:rPr>
        <w:t>附件十一 消耗品购买价格清单</w:t>
      </w:r>
    </w:p>
    <w:p>
      <w:pPr>
        <w:ind w:firstLine="0" w:firstLineChars="0"/>
        <w:rPr>
          <w:rFonts w:cs="宋体" w:asciiTheme="minorEastAsia" w:hAnsiTheme="minorEastAsia" w:eastAsiaTheme="minorEastAsia"/>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消耗品购买价格清单</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项目名称：                       采购编号：           </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pacing w:val="20"/>
          <w:szCs w:val="21"/>
        </w:rPr>
        <w:t xml:space="preserve">                （价格单位：元人民币）</w:t>
      </w:r>
    </w:p>
    <w:tbl>
      <w:tblPr>
        <w:tblStyle w:val="26"/>
        <w:tblW w:w="13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881"/>
        <w:gridCol w:w="1843"/>
        <w:gridCol w:w="2268"/>
        <w:gridCol w:w="850"/>
        <w:gridCol w:w="1418"/>
        <w:gridCol w:w="1843"/>
        <w:gridCol w:w="149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38" w:type="dxa"/>
            <w:vAlign w:val="center"/>
          </w:tcPr>
          <w:p>
            <w:pPr>
              <w:ind w:firstLine="0" w:firstLineChars="0"/>
              <w:jc w:val="center"/>
              <w:rPr>
                <w:rFonts w:cs="宋体" w:asciiTheme="minorEastAsia" w:hAnsiTheme="minorEastAsia" w:eastAsiaTheme="minorEastAsia"/>
                <w:caps/>
                <w:color w:val="auto"/>
                <w:spacing w:val="20"/>
                <w:szCs w:val="21"/>
              </w:rPr>
            </w:pPr>
            <w:bookmarkStart w:id="121" w:name="_Hlk8685587"/>
            <w:r>
              <w:rPr>
                <w:rFonts w:hint="eastAsia" w:cs="宋体" w:asciiTheme="minorEastAsia" w:hAnsiTheme="minorEastAsia" w:eastAsiaTheme="minorEastAsia"/>
                <w:caps/>
                <w:color w:val="auto"/>
                <w:spacing w:val="20"/>
                <w:szCs w:val="21"/>
              </w:rPr>
              <w:t>序号</w:t>
            </w:r>
          </w:p>
        </w:tc>
        <w:tc>
          <w:tcPr>
            <w:tcW w:w="1881" w:type="dxa"/>
            <w:vAlign w:val="center"/>
          </w:tcPr>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名称</w:t>
            </w:r>
          </w:p>
        </w:tc>
        <w:tc>
          <w:tcPr>
            <w:tcW w:w="1843" w:type="dxa"/>
            <w:vAlign w:val="center"/>
          </w:tcPr>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品牌型号规格</w:t>
            </w:r>
          </w:p>
        </w:tc>
        <w:tc>
          <w:tcPr>
            <w:tcW w:w="2268" w:type="dxa"/>
            <w:vAlign w:val="center"/>
          </w:tcPr>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产地和制造商名称</w:t>
            </w:r>
          </w:p>
        </w:tc>
        <w:tc>
          <w:tcPr>
            <w:tcW w:w="850" w:type="dxa"/>
            <w:vAlign w:val="center"/>
          </w:tcPr>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计量单位</w:t>
            </w:r>
          </w:p>
        </w:tc>
        <w:tc>
          <w:tcPr>
            <w:tcW w:w="1418" w:type="dxa"/>
            <w:vAlign w:val="center"/>
          </w:tcPr>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折扣前单价</w:t>
            </w:r>
          </w:p>
        </w:tc>
        <w:tc>
          <w:tcPr>
            <w:tcW w:w="1843" w:type="dxa"/>
            <w:vAlign w:val="center"/>
          </w:tcPr>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折扣后单价</w:t>
            </w:r>
          </w:p>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（或折扣率）</w:t>
            </w:r>
          </w:p>
        </w:tc>
        <w:tc>
          <w:tcPr>
            <w:tcW w:w="1497" w:type="dxa"/>
            <w:vAlign w:val="center"/>
          </w:tcPr>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对应的投标货物名称</w:t>
            </w:r>
          </w:p>
        </w:tc>
        <w:tc>
          <w:tcPr>
            <w:tcW w:w="1417" w:type="dxa"/>
            <w:vAlign w:val="center"/>
          </w:tcPr>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color w:val="auto"/>
                <w:spacing w:val="20"/>
                <w:szCs w:val="21"/>
              </w:rPr>
            </w:pPr>
          </w:p>
        </w:tc>
        <w:tc>
          <w:tcPr>
            <w:tcW w:w="1881"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vAlign w:val="center"/>
          </w:tcPr>
          <w:p>
            <w:pPr>
              <w:ind w:firstLine="0" w:firstLineChars="0"/>
              <w:jc w:val="center"/>
              <w:rPr>
                <w:rFonts w:cs="宋体" w:asciiTheme="minorEastAsia" w:hAnsiTheme="minorEastAsia" w:eastAsiaTheme="minorEastAsia"/>
                <w:color w:val="auto"/>
                <w:spacing w:val="20"/>
                <w:szCs w:val="21"/>
              </w:rPr>
            </w:pPr>
          </w:p>
        </w:tc>
        <w:tc>
          <w:tcPr>
            <w:tcW w:w="2268" w:type="dxa"/>
            <w:vAlign w:val="center"/>
          </w:tcPr>
          <w:p>
            <w:pPr>
              <w:ind w:firstLine="0" w:firstLineChars="0"/>
              <w:jc w:val="center"/>
              <w:rPr>
                <w:rFonts w:cs="宋体" w:asciiTheme="minorEastAsia" w:hAnsiTheme="minorEastAsia" w:eastAsiaTheme="minorEastAsia"/>
                <w:color w:val="auto"/>
                <w:spacing w:val="20"/>
                <w:szCs w:val="21"/>
              </w:rPr>
            </w:pPr>
          </w:p>
        </w:tc>
        <w:tc>
          <w:tcPr>
            <w:tcW w:w="850" w:type="dxa"/>
          </w:tcPr>
          <w:p>
            <w:pPr>
              <w:ind w:firstLine="0" w:firstLineChars="0"/>
              <w:jc w:val="center"/>
              <w:rPr>
                <w:rFonts w:cs="宋体" w:asciiTheme="minorEastAsia" w:hAnsiTheme="minorEastAsia" w:eastAsiaTheme="minorEastAsia"/>
                <w:color w:val="auto"/>
                <w:spacing w:val="20"/>
                <w:szCs w:val="21"/>
              </w:rPr>
            </w:pPr>
          </w:p>
        </w:tc>
        <w:tc>
          <w:tcPr>
            <w:tcW w:w="1418"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tcPr>
          <w:p>
            <w:pPr>
              <w:ind w:firstLine="0" w:firstLineChars="0"/>
              <w:jc w:val="center"/>
              <w:rPr>
                <w:rFonts w:cs="宋体" w:asciiTheme="minorEastAsia" w:hAnsiTheme="minorEastAsia" w:eastAsiaTheme="minorEastAsia"/>
                <w:color w:val="auto"/>
                <w:spacing w:val="20"/>
                <w:szCs w:val="21"/>
              </w:rPr>
            </w:pPr>
          </w:p>
        </w:tc>
        <w:tc>
          <w:tcPr>
            <w:tcW w:w="1497" w:type="dxa"/>
            <w:vAlign w:val="center"/>
          </w:tcPr>
          <w:p>
            <w:pPr>
              <w:ind w:firstLine="0" w:firstLineChars="0"/>
              <w:jc w:val="center"/>
              <w:rPr>
                <w:rFonts w:cs="宋体" w:asciiTheme="minorEastAsia" w:hAnsiTheme="minorEastAsia" w:eastAsiaTheme="minorEastAsia"/>
                <w:color w:val="auto"/>
                <w:spacing w:val="20"/>
                <w:szCs w:val="21"/>
              </w:rPr>
            </w:pPr>
          </w:p>
        </w:tc>
        <w:tc>
          <w:tcPr>
            <w:tcW w:w="1417"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color w:val="auto"/>
                <w:spacing w:val="20"/>
                <w:szCs w:val="21"/>
              </w:rPr>
            </w:pPr>
          </w:p>
        </w:tc>
        <w:tc>
          <w:tcPr>
            <w:tcW w:w="1881"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vAlign w:val="center"/>
          </w:tcPr>
          <w:p>
            <w:pPr>
              <w:ind w:firstLine="0" w:firstLineChars="0"/>
              <w:jc w:val="center"/>
              <w:rPr>
                <w:rFonts w:cs="宋体" w:asciiTheme="minorEastAsia" w:hAnsiTheme="minorEastAsia" w:eastAsiaTheme="minorEastAsia"/>
                <w:color w:val="auto"/>
                <w:spacing w:val="20"/>
                <w:szCs w:val="21"/>
              </w:rPr>
            </w:pPr>
          </w:p>
        </w:tc>
        <w:tc>
          <w:tcPr>
            <w:tcW w:w="2268" w:type="dxa"/>
            <w:vAlign w:val="center"/>
          </w:tcPr>
          <w:p>
            <w:pPr>
              <w:ind w:firstLine="0" w:firstLineChars="0"/>
              <w:jc w:val="center"/>
              <w:rPr>
                <w:rFonts w:cs="宋体" w:asciiTheme="minorEastAsia" w:hAnsiTheme="minorEastAsia" w:eastAsiaTheme="minorEastAsia"/>
                <w:color w:val="auto"/>
                <w:spacing w:val="20"/>
                <w:szCs w:val="21"/>
              </w:rPr>
            </w:pPr>
          </w:p>
        </w:tc>
        <w:tc>
          <w:tcPr>
            <w:tcW w:w="850" w:type="dxa"/>
          </w:tcPr>
          <w:p>
            <w:pPr>
              <w:ind w:firstLine="0" w:firstLineChars="0"/>
              <w:jc w:val="center"/>
              <w:rPr>
                <w:rFonts w:cs="宋体" w:asciiTheme="minorEastAsia" w:hAnsiTheme="minorEastAsia" w:eastAsiaTheme="minorEastAsia"/>
                <w:color w:val="auto"/>
                <w:spacing w:val="20"/>
                <w:szCs w:val="21"/>
              </w:rPr>
            </w:pPr>
          </w:p>
        </w:tc>
        <w:tc>
          <w:tcPr>
            <w:tcW w:w="1418"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tcPr>
          <w:p>
            <w:pPr>
              <w:ind w:firstLine="0" w:firstLineChars="0"/>
              <w:jc w:val="center"/>
              <w:rPr>
                <w:rFonts w:cs="宋体" w:asciiTheme="minorEastAsia" w:hAnsiTheme="minorEastAsia" w:eastAsiaTheme="minorEastAsia"/>
                <w:color w:val="auto"/>
                <w:spacing w:val="20"/>
                <w:szCs w:val="21"/>
              </w:rPr>
            </w:pPr>
          </w:p>
        </w:tc>
        <w:tc>
          <w:tcPr>
            <w:tcW w:w="1497" w:type="dxa"/>
            <w:vAlign w:val="center"/>
          </w:tcPr>
          <w:p>
            <w:pPr>
              <w:ind w:firstLine="0" w:firstLineChars="0"/>
              <w:jc w:val="center"/>
              <w:rPr>
                <w:rFonts w:cs="宋体" w:asciiTheme="minorEastAsia" w:hAnsiTheme="minorEastAsia" w:eastAsiaTheme="minorEastAsia"/>
                <w:color w:val="auto"/>
                <w:spacing w:val="20"/>
                <w:szCs w:val="21"/>
              </w:rPr>
            </w:pPr>
          </w:p>
        </w:tc>
        <w:tc>
          <w:tcPr>
            <w:tcW w:w="1417"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color w:val="auto"/>
                <w:spacing w:val="20"/>
                <w:szCs w:val="21"/>
              </w:rPr>
            </w:pPr>
          </w:p>
        </w:tc>
        <w:tc>
          <w:tcPr>
            <w:tcW w:w="1881"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vAlign w:val="center"/>
          </w:tcPr>
          <w:p>
            <w:pPr>
              <w:ind w:firstLine="0" w:firstLineChars="0"/>
              <w:jc w:val="center"/>
              <w:rPr>
                <w:rFonts w:cs="宋体" w:asciiTheme="minorEastAsia" w:hAnsiTheme="minorEastAsia" w:eastAsiaTheme="minorEastAsia"/>
                <w:color w:val="auto"/>
                <w:spacing w:val="20"/>
                <w:szCs w:val="21"/>
              </w:rPr>
            </w:pPr>
          </w:p>
        </w:tc>
        <w:tc>
          <w:tcPr>
            <w:tcW w:w="2268" w:type="dxa"/>
            <w:vAlign w:val="center"/>
          </w:tcPr>
          <w:p>
            <w:pPr>
              <w:ind w:firstLine="0" w:firstLineChars="0"/>
              <w:jc w:val="center"/>
              <w:rPr>
                <w:rFonts w:cs="宋体" w:asciiTheme="minorEastAsia" w:hAnsiTheme="minorEastAsia" w:eastAsiaTheme="minorEastAsia"/>
                <w:color w:val="auto"/>
                <w:spacing w:val="20"/>
                <w:szCs w:val="21"/>
              </w:rPr>
            </w:pPr>
          </w:p>
        </w:tc>
        <w:tc>
          <w:tcPr>
            <w:tcW w:w="850" w:type="dxa"/>
          </w:tcPr>
          <w:p>
            <w:pPr>
              <w:ind w:firstLine="0" w:firstLineChars="0"/>
              <w:jc w:val="center"/>
              <w:rPr>
                <w:rFonts w:cs="宋体" w:asciiTheme="minorEastAsia" w:hAnsiTheme="minorEastAsia" w:eastAsiaTheme="minorEastAsia"/>
                <w:color w:val="auto"/>
                <w:spacing w:val="20"/>
                <w:szCs w:val="21"/>
              </w:rPr>
            </w:pPr>
          </w:p>
        </w:tc>
        <w:tc>
          <w:tcPr>
            <w:tcW w:w="1418"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tcPr>
          <w:p>
            <w:pPr>
              <w:ind w:firstLine="0" w:firstLineChars="0"/>
              <w:jc w:val="center"/>
              <w:rPr>
                <w:rFonts w:cs="宋体" w:asciiTheme="minorEastAsia" w:hAnsiTheme="minorEastAsia" w:eastAsiaTheme="minorEastAsia"/>
                <w:color w:val="auto"/>
                <w:spacing w:val="20"/>
                <w:szCs w:val="21"/>
              </w:rPr>
            </w:pPr>
          </w:p>
        </w:tc>
        <w:tc>
          <w:tcPr>
            <w:tcW w:w="1497" w:type="dxa"/>
            <w:vAlign w:val="center"/>
          </w:tcPr>
          <w:p>
            <w:pPr>
              <w:ind w:firstLine="0" w:firstLineChars="0"/>
              <w:jc w:val="center"/>
              <w:rPr>
                <w:rFonts w:cs="宋体" w:asciiTheme="minorEastAsia" w:hAnsiTheme="minorEastAsia" w:eastAsiaTheme="minorEastAsia"/>
                <w:color w:val="auto"/>
                <w:spacing w:val="20"/>
                <w:szCs w:val="21"/>
              </w:rPr>
            </w:pPr>
          </w:p>
        </w:tc>
        <w:tc>
          <w:tcPr>
            <w:tcW w:w="1417"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color w:val="auto"/>
                <w:spacing w:val="20"/>
                <w:szCs w:val="21"/>
              </w:rPr>
            </w:pPr>
          </w:p>
        </w:tc>
        <w:tc>
          <w:tcPr>
            <w:tcW w:w="1881"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vAlign w:val="center"/>
          </w:tcPr>
          <w:p>
            <w:pPr>
              <w:ind w:firstLine="0" w:firstLineChars="0"/>
              <w:jc w:val="center"/>
              <w:rPr>
                <w:rFonts w:cs="宋体" w:asciiTheme="minorEastAsia" w:hAnsiTheme="minorEastAsia" w:eastAsiaTheme="minorEastAsia"/>
                <w:color w:val="auto"/>
                <w:spacing w:val="20"/>
                <w:szCs w:val="21"/>
              </w:rPr>
            </w:pPr>
          </w:p>
        </w:tc>
        <w:tc>
          <w:tcPr>
            <w:tcW w:w="2268" w:type="dxa"/>
            <w:vAlign w:val="center"/>
          </w:tcPr>
          <w:p>
            <w:pPr>
              <w:ind w:firstLine="0" w:firstLineChars="0"/>
              <w:jc w:val="center"/>
              <w:rPr>
                <w:rFonts w:cs="宋体" w:asciiTheme="minorEastAsia" w:hAnsiTheme="minorEastAsia" w:eastAsiaTheme="minorEastAsia"/>
                <w:color w:val="auto"/>
                <w:spacing w:val="20"/>
                <w:szCs w:val="21"/>
              </w:rPr>
            </w:pPr>
          </w:p>
        </w:tc>
        <w:tc>
          <w:tcPr>
            <w:tcW w:w="850" w:type="dxa"/>
          </w:tcPr>
          <w:p>
            <w:pPr>
              <w:ind w:firstLine="0" w:firstLineChars="0"/>
              <w:jc w:val="center"/>
              <w:rPr>
                <w:rFonts w:cs="宋体" w:asciiTheme="minorEastAsia" w:hAnsiTheme="minorEastAsia" w:eastAsiaTheme="minorEastAsia"/>
                <w:color w:val="auto"/>
                <w:spacing w:val="20"/>
                <w:szCs w:val="21"/>
              </w:rPr>
            </w:pPr>
          </w:p>
        </w:tc>
        <w:tc>
          <w:tcPr>
            <w:tcW w:w="1418"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tcPr>
          <w:p>
            <w:pPr>
              <w:ind w:firstLine="0" w:firstLineChars="0"/>
              <w:jc w:val="center"/>
              <w:rPr>
                <w:rFonts w:cs="宋体" w:asciiTheme="minorEastAsia" w:hAnsiTheme="minorEastAsia" w:eastAsiaTheme="minorEastAsia"/>
                <w:color w:val="auto"/>
                <w:spacing w:val="20"/>
                <w:szCs w:val="21"/>
              </w:rPr>
            </w:pPr>
          </w:p>
        </w:tc>
        <w:tc>
          <w:tcPr>
            <w:tcW w:w="1497" w:type="dxa"/>
            <w:vAlign w:val="center"/>
          </w:tcPr>
          <w:p>
            <w:pPr>
              <w:ind w:firstLine="0" w:firstLineChars="0"/>
              <w:jc w:val="center"/>
              <w:rPr>
                <w:rFonts w:cs="宋体" w:asciiTheme="minorEastAsia" w:hAnsiTheme="minorEastAsia" w:eastAsiaTheme="minorEastAsia"/>
                <w:color w:val="auto"/>
                <w:spacing w:val="20"/>
                <w:szCs w:val="21"/>
              </w:rPr>
            </w:pPr>
          </w:p>
        </w:tc>
        <w:tc>
          <w:tcPr>
            <w:tcW w:w="1417"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color w:val="auto"/>
                <w:spacing w:val="20"/>
                <w:szCs w:val="21"/>
              </w:rPr>
            </w:pPr>
          </w:p>
        </w:tc>
        <w:tc>
          <w:tcPr>
            <w:tcW w:w="1881"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vAlign w:val="center"/>
          </w:tcPr>
          <w:p>
            <w:pPr>
              <w:ind w:firstLine="0" w:firstLineChars="0"/>
              <w:jc w:val="center"/>
              <w:rPr>
                <w:rFonts w:cs="宋体" w:asciiTheme="minorEastAsia" w:hAnsiTheme="minorEastAsia" w:eastAsiaTheme="minorEastAsia"/>
                <w:color w:val="auto"/>
                <w:spacing w:val="20"/>
                <w:szCs w:val="21"/>
              </w:rPr>
            </w:pPr>
          </w:p>
        </w:tc>
        <w:tc>
          <w:tcPr>
            <w:tcW w:w="2268" w:type="dxa"/>
            <w:vAlign w:val="center"/>
          </w:tcPr>
          <w:p>
            <w:pPr>
              <w:ind w:firstLine="0" w:firstLineChars="0"/>
              <w:jc w:val="center"/>
              <w:rPr>
                <w:rFonts w:cs="宋体" w:asciiTheme="minorEastAsia" w:hAnsiTheme="minorEastAsia" w:eastAsiaTheme="minorEastAsia"/>
                <w:color w:val="auto"/>
                <w:spacing w:val="20"/>
                <w:szCs w:val="21"/>
              </w:rPr>
            </w:pPr>
          </w:p>
        </w:tc>
        <w:tc>
          <w:tcPr>
            <w:tcW w:w="850" w:type="dxa"/>
          </w:tcPr>
          <w:p>
            <w:pPr>
              <w:ind w:firstLine="0" w:firstLineChars="0"/>
              <w:jc w:val="center"/>
              <w:rPr>
                <w:rFonts w:cs="宋体" w:asciiTheme="minorEastAsia" w:hAnsiTheme="minorEastAsia" w:eastAsiaTheme="minorEastAsia"/>
                <w:color w:val="auto"/>
                <w:spacing w:val="20"/>
                <w:szCs w:val="21"/>
              </w:rPr>
            </w:pPr>
          </w:p>
        </w:tc>
        <w:tc>
          <w:tcPr>
            <w:tcW w:w="1418"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tcPr>
          <w:p>
            <w:pPr>
              <w:ind w:firstLine="0" w:firstLineChars="0"/>
              <w:jc w:val="center"/>
              <w:rPr>
                <w:rFonts w:cs="宋体" w:asciiTheme="minorEastAsia" w:hAnsiTheme="minorEastAsia" w:eastAsiaTheme="minorEastAsia"/>
                <w:color w:val="auto"/>
                <w:spacing w:val="20"/>
                <w:szCs w:val="21"/>
              </w:rPr>
            </w:pPr>
          </w:p>
        </w:tc>
        <w:tc>
          <w:tcPr>
            <w:tcW w:w="1497" w:type="dxa"/>
            <w:vAlign w:val="center"/>
          </w:tcPr>
          <w:p>
            <w:pPr>
              <w:ind w:firstLine="0" w:firstLineChars="0"/>
              <w:jc w:val="center"/>
              <w:rPr>
                <w:rFonts w:cs="宋体" w:asciiTheme="minorEastAsia" w:hAnsiTheme="minorEastAsia" w:eastAsiaTheme="minorEastAsia"/>
                <w:color w:val="auto"/>
                <w:spacing w:val="20"/>
                <w:szCs w:val="21"/>
              </w:rPr>
            </w:pPr>
          </w:p>
        </w:tc>
        <w:tc>
          <w:tcPr>
            <w:tcW w:w="1417"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color w:val="auto"/>
                <w:spacing w:val="20"/>
                <w:szCs w:val="21"/>
              </w:rPr>
            </w:pPr>
          </w:p>
        </w:tc>
        <w:tc>
          <w:tcPr>
            <w:tcW w:w="1881"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vAlign w:val="center"/>
          </w:tcPr>
          <w:p>
            <w:pPr>
              <w:ind w:firstLine="0" w:firstLineChars="0"/>
              <w:jc w:val="center"/>
              <w:rPr>
                <w:rFonts w:cs="宋体" w:asciiTheme="minorEastAsia" w:hAnsiTheme="minorEastAsia" w:eastAsiaTheme="minorEastAsia"/>
                <w:color w:val="auto"/>
                <w:spacing w:val="20"/>
                <w:szCs w:val="21"/>
              </w:rPr>
            </w:pPr>
          </w:p>
        </w:tc>
        <w:tc>
          <w:tcPr>
            <w:tcW w:w="2268" w:type="dxa"/>
            <w:vAlign w:val="center"/>
          </w:tcPr>
          <w:p>
            <w:pPr>
              <w:ind w:firstLine="0" w:firstLineChars="0"/>
              <w:jc w:val="center"/>
              <w:rPr>
                <w:rFonts w:cs="宋体" w:asciiTheme="minorEastAsia" w:hAnsiTheme="minorEastAsia" w:eastAsiaTheme="minorEastAsia"/>
                <w:color w:val="auto"/>
                <w:spacing w:val="20"/>
                <w:szCs w:val="21"/>
              </w:rPr>
            </w:pPr>
          </w:p>
        </w:tc>
        <w:tc>
          <w:tcPr>
            <w:tcW w:w="850" w:type="dxa"/>
          </w:tcPr>
          <w:p>
            <w:pPr>
              <w:ind w:firstLine="0" w:firstLineChars="0"/>
              <w:jc w:val="center"/>
              <w:rPr>
                <w:rFonts w:cs="宋体" w:asciiTheme="minorEastAsia" w:hAnsiTheme="minorEastAsia" w:eastAsiaTheme="minorEastAsia"/>
                <w:color w:val="auto"/>
                <w:spacing w:val="20"/>
                <w:szCs w:val="21"/>
              </w:rPr>
            </w:pPr>
          </w:p>
        </w:tc>
        <w:tc>
          <w:tcPr>
            <w:tcW w:w="1418"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tcPr>
          <w:p>
            <w:pPr>
              <w:ind w:firstLine="0" w:firstLineChars="0"/>
              <w:jc w:val="center"/>
              <w:rPr>
                <w:rFonts w:cs="宋体" w:asciiTheme="minorEastAsia" w:hAnsiTheme="minorEastAsia" w:eastAsiaTheme="minorEastAsia"/>
                <w:color w:val="auto"/>
                <w:spacing w:val="20"/>
                <w:szCs w:val="21"/>
              </w:rPr>
            </w:pPr>
          </w:p>
        </w:tc>
        <w:tc>
          <w:tcPr>
            <w:tcW w:w="1497" w:type="dxa"/>
            <w:vAlign w:val="center"/>
          </w:tcPr>
          <w:p>
            <w:pPr>
              <w:ind w:firstLine="0" w:firstLineChars="0"/>
              <w:jc w:val="center"/>
              <w:rPr>
                <w:rFonts w:cs="宋体" w:asciiTheme="minorEastAsia" w:hAnsiTheme="minorEastAsia" w:eastAsiaTheme="minorEastAsia"/>
                <w:color w:val="auto"/>
                <w:spacing w:val="20"/>
                <w:szCs w:val="21"/>
              </w:rPr>
            </w:pPr>
          </w:p>
        </w:tc>
        <w:tc>
          <w:tcPr>
            <w:tcW w:w="1417"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color w:val="auto"/>
                <w:spacing w:val="20"/>
                <w:szCs w:val="21"/>
              </w:rPr>
            </w:pPr>
          </w:p>
        </w:tc>
        <w:tc>
          <w:tcPr>
            <w:tcW w:w="1881"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vAlign w:val="center"/>
          </w:tcPr>
          <w:p>
            <w:pPr>
              <w:ind w:firstLine="0" w:firstLineChars="0"/>
              <w:jc w:val="center"/>
              <w:rPr>
                <w:rFonts w:cs="宋体" w:asciiTheme="minorEastAsia" w:hAnsiTheme="minorEastAsia" w:eastAsiaTheme="minorEastAsia"/>
                <w:color w:val="auto"/>
                <w:spacing w:val="20"/>
                <w:szCs w:val="21"/>
              </w:rPr>
            </w:pPr>
          </w:p>
        </w:tc>
        <w:tc>
          <w:tcPr>
            <w:tcW w:w="2268" w:type="dxa"/>
            <w:vAlign w:val="center"/>
          </w:tcPr>
          <w:p>
            <w:pPr>
              <w:ind w:firstLine="0" w:firstLineChars="0"/>
              <w:jc w:val="center"/>
              <w:rPr>
                <w:rFonts w:cs="宋体" w:asciiTheme="minorEastAsia" w:hAnsiTheme="minorEastAsia" w:eastAsiaTheme="minorEastAsia"/>
                <w:color w:val="auto"/>
                <w:spacing w:val="20"/>
                <w:szCs w:val="21"/>
              </w:rPr>
            </w:pPr>
          </w:p>
        </w:tc>
        <w:tc>
          <w:tcPr>
            <w:tcW w:w="850" w:type="dxa"/>
          </w:tcPr>
          <w:p>
            <w:pPr>
              <w:ind w:firstLine="0" w:firstLineChars="0"/>
              <w:jc w:val="center"/>
              <w:rPr>
                <w:rFonts w:cs="宋体" w:asciiTheme="minorEastAsia" w:hAnsiTheme="minorEastAsia" w:eastAsiaTheme="minorEastAsia"/>
                <w:color w:val="auto"/>
                <w:spacing w:val="20"/>
                <w:szCs w:val="21"/>
              </w:rPr>
            </w:pPr>
          </w:p>
        </w:tc>
        <w:tc>
          <w:tcPr>
            <w:tcW w:w="1418"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tcPr>
          <w:p>
            <w:pPr>
              <w:ind w:firstLine="0" w:firstLineChars="0"/>
              <w:jc w:val="center"/>
              <w:rPr>
                <w:rFonts w:cs="宋体" w:asciiTheme="minorEastAsia" w:hAnsiTheme="minorEastAsia" w:eastAsiaTheme="minorEastAsia"/>
                <w:color w:val="auto"/>
                <w:spacing w:val="20"/>
                <w:szCs w:val="21"/>
              </w:rPr>
            </w:pPr>
          </w:p>
        </w:tc>
        <w:tc>
          <w:tcPr>
            <w:tcW w:w="1497" w:type="dxa"/>
            <w:vAlign w:val="center"/>
          </w:tcPr>
          <w:p>
            <w:pPr>
              <w:ind w:firstLine="0" w:firstLineChars="0"/>
              <w:jc w:val="center"/>
              <w:rPr>
                <w:rFonts w:cs="宋体" w:asciiTheme="minorEastAsia" w:hAnsiTheme="minorEastAsia" w:eastAsiaTheme="minorEastAsia"/>
                <w:color w:val="auto"/>
                <w:spacing w:val="20"/>
                <w:szCs w:val="21"/>
              </w:rPr>
            </w:pPr>
          </w:p>
        </w:tc>
        <w:tc>
          <w:tcPr>
            <w:tcW w:w="1417"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color w:val="auto"/>
                <w:spacing w:val="20"/>
                <w:szCs w:val="21"/>
              </w:rPr>
            </w:pPr>
          </w:p>
        </w:tc>
        <w:tc>
          <w:tcPr>
            <w:tcW w:w="1881"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vAlign w:val="center"/>
          </w:tcPr>
          <w:p>
            <w:pPr>
              <w:ind w:firstLine="0" w:firstLineChars="0"/>
              <w:jc w:val="center"/>
              <w:rPr>
                <w:rFonts w:cs="宋体" w:asciiTheme="minorEastAsia" w:hAnsiTheme="minorEastAsia" w:eastAsiaTheme="minorEastAsia"/>
                <w:color w:val="auto"/>
                <w:spacing w:val="20"/>
                <w:szCs w:val="21"/>
              </w:rPr>
            </w:pPr>
          </w:p>
        </w:tc>
        <w:tc>
          <w:tcPr>
            <w:tcW w:w="2268" w:type="dxa"/>
            <w:vAlign w:val="center"/>
          </w:tcPr>
          <w:p>
            <w:pPr>
              <w:ind w:firstLine="0" w:firstLineChars="0"/>
              <w:jc w:val="center"/>
              <w:rPr>
                <w:rFonts w:cs="宋体" w:asciiTheme="minorEastAsia" w:hAnsiTheme="minorEastAsia" w:eastAsiaTheme="minorEastAsia"/>
                <w:color w:val="auto"/>
                <w:spacing w:val="20"/>
                <w:szCs w:val="21"/>
              </w:rPr>
            </w:pPr>
          </w:p>
        </w:tc>
        <w:tc>
          <w:tcPr>
            <w:tcW w:w="850" w:type="dxa"/>
          </w:tcPr>
          <w:p>
            <w:pPr>
              <w:ind w:firstLine="0" w:firstLineChars="0"/>
              <w:jc w:val="center"/>
              <w:rPr>
                <w:rFonts w:cs="宋体" w:asciiTheme="minorEastAsia" w:hAnsiTheme="minorEastAsia" w:eastAsiaTheme="minorEastAsia"/>
                <w:color w:val="auto"/>
                <w:spacing w:val="20"/>
                <w:szCs w:val="21"/>
              </w:rPr>
            </w:pPr>
          </w:p>
        </w:tc>
        <w:tc>
          <w:tcPr>
            <w:tcW w:w="1418"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tcPr>
          <w:p>
            <w:pPr>
              <w:ind w:firstLine="0" w:firstLineChars="0"/>
              <w:jc w:val="center"/>
              <w:rPr>
                <w:rFonts w:cs="宋体" w:asciiTheme="minorEastAsia" w:hAnsiTheme="minorEastAsia" w:eastAsiaTheme="minorEastAsia"/>
                <w:color w:val="auto"/>
                <w:spacing w:val="20"/>
                <w:szCs w:val="21"/>
              </w:rPr>
            </w:pPr>
          </w:p>
        </w:tc>
        <w:tc>
          <w:tcPr>
            <w:tcW w:w="1497" w:type="dxa"/>
            <w:vAlign w:val="center"/>
          </w:tcPr>
          <w:p>
            <w:pPr>
              <w:ind w:firstLine="0" w:firstLineChars="0"/>
              <w:jc w:val="center"/>
              <w:rPr>
                <w:rFonts w:cs="宋体" w:asciiTheme="minorEastAsia" w:hAnsiTheme="minorEastAsia" w:eastAsiaTheme="minorEastAsia"/>
                <w:color w:val="auto"/>
                <w:spacing w:val="20"/>
                <w:szCs w:val="21"/>
              </w:rPr>
            </w:pPr>
          </w:p>
        </w:tc>
        <w:tc>
          <w:tcPr>
            <w:tcW w:w="1417" w:type="dxa"/>
            <w:vAlign w:val="center"/>
          </w:tcPr>
          <w:p>
            <w:pPr>
              <w:ind w:firstLine="0" w:firstLineChars="0"/>
              <w:jc w:val="center"/>
              <w:rPr>
                <w:rFonts w:cs="宋体" w:asciiTheme="minorEastAsia" w:hAnsiTheme="minorEastAsia" w:eastAsiaTheme="minorEastAsia"/>
                <w:color w:val="auto"/>
                <w:spacing w:val="20"/>
                <w:szCs w:val="21"/>
              </w:rPr>
            </w:pPr>
          </w:p>
        </w:tc>
      </w:tr>
      <w:bookmarkEnd w:id="121"/>
    </w:tbl>
    <w:p>
      <w:pPr>
        <w:ind w:firstLine="0" w:firstLineChars="0"/>
        <w:rPr>
          <w:rFonts w:cs="宋体" w:asciiTheme="minorEastAsia" w:hAnsiTheme="minorEastAsia" w:eastAsiaTheme="minorEastAsia"/>
          <w:color w:val="auto"/>
          <w:szCs w:val="21"/>
        </w:rPr>
      </w:pPr>
      <w:bookmarkStart w:id="122" w:name="_Hlk8685661"/>
      <w:r>
        <w:rPr>
          <w:rFonts w:hint="eastAsia" w:cs="宋体" w:asciiTheme="minorEastAsia" w:hAnsiTheme="minorEastAsia" w:eastAsiaTheme="minorEastAsia"/>
          <w:color w:val="auto"/>
          <w:szCs w:val="21"/>
        </w:rPr>
        <w:t>注：1</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投标人应提供货物质保期外所需消耗品的清单供采购人参考，消耗品价格不包含在投标报价中。</w:t>
      </w:r>
    </w:p>
    <w:p>
      <w:pPr>
        <w:adjustRightInd w:val="0"/>
        <w:snapToGrid w:val="0"/>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折扣率=折扣后单价/折扣前单价</w:t>
      </w:r>
    </w:p>
    <w:bookmarkEnd w:id="122"/>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投标人全称（盖章）：</w:t>
      </w: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授权委托人（签字或盖章）：</w:t>
      </w: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widowControl/>
        <w:ind w:firstLine="0" w:firstLineChars="0"/>
        <w:jc w:val="left"/>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docGrid w:linePitch="286" w:charSpace="0"/>
        </w:sectPr>
      </w:pPr>
    </w:p>
    <w:p>
      <w:pPr>
        <w:pStyle w:val="6"/>
        <w:rPr>
          <w:color w:val="auto"/>
        </w:rPr>
      </w:pPr>
      <w:r>
        <w:rPr>
          <w:rFonts w:hint="eastAsia"/>
          <w:color w:val="auto"/>
        </w:rPr>
        <w:t>附件十二  备品备件清单</w:t>
      </w:r>
    </w:p>
    <w:p>
      <w:pPr>
        <w:ind w:firstLine="420"/>
        <w:rPr>
          <w:rFonts w:asciiTheme="minorEastAsia" w:hAnsiTheme="minorEastAsia" w:eastAsiaTheme="minorEastAsia"/>
          <w:color w:val="auto"/>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备品备件清单</w:t>
      </w:r>
    </w:p>
    <w:p>
      <w:pPr>
        <w:ind w:firstLine="420"/>
        <w:rPr>
          <w:rFonts w:cs="宋体" w:asciiTheme="minorEastAsia" w:hAnsiTheme="minorEastAsia" w:eastAsiaTheme="minorEastAsia"/>
          <w:color w:val="auto"/>
          <w:szCs w:val="21"/>
        </w:rPr>
      </w:pP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1511"/>
        <w:gridCol w:w="993"/>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名称</w:t>
            </w:r>
          </w:p>
        </w:tc>
        <w:tc>
          <w:tcPr>
            <w:tcW w:w="128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品牌</w:t>
            </w:r>
          </w:p>
        </w:tc>
        <w:tc>
          <w:tcPr>
            <w:tcW w:w="151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规格型号</w:t>
            </w:r>
          </w:p>
        </w:tc>
        <w:tc>
          <w:tcPr>
            <w:tcW w:w="99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数量</w:t>
            </w:r>
          </w:p>
        </w:tc>
        <w:tc>
          <w:tcPr>
            <w:tcW w:w="444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产地和制造商名称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注：备品备件是指投标人为本次采购服务所准备的备品备件货物，以保证出现故障时，可以在最短的时间内使用备品备件清单中的货物排除故障。备品备件价格包含在投标报价中。</w:t>
      </w:r>
    </w:p>
    <w:p>
      <w:pPr>
        <w:ind w:firstLine="0" w:firstLineChars="0"/>
        <w:rPr>
          <w:rFonts w:cs="宋体" w:asciiTheme="minorEastAsia" w:hAnsiTheme="minorEastAsia" w:eastAsiaTheme="minorEastAsia"/>
          <w:color w:val="auto"/>
          <w:spacing w:val="20"/>
          <w:szCs w:val="21"/>
        </w:rPr>
      </w:pPr>
    </w:p>
    <w:p>
      <w:pPr>
        <w:pStyle w:val="2"/>
        <w:ind w:firstLine="210"/>
        <w:rPr>
          <w:rFonts w:asciiTheme="minorEastAsia" w:hAnsiTheme="minorEastAsia" w:eastAsiaTheme="minorEastAsia"/>
          <w:color w:val="auto"/>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投标人全称（盖章）：</w:t>
      </w:r>
    </w:p>
    <w:p>
      <w:pPr>
        <w:adjustRightInd w:val="0"/>
        <w:snapToGrid w:val="0"/>
        <w:ind w:firstLine="0" w:firstLineChars="0"/>
        <w:rPr>
          <w:rFonts w:hint="eastAsia"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授权委托人（签字或盖章）：</w:t>
      </w:r>
    </w:p>
    <w:p>
      <w:pPr>
        <w:adjustRightInd w:val="0"/>
        <w:snapToGrid w:val="0"/>
        <w:ind w:firstLine="0" w:firstLineChars="0"/>
        <w:rPr>
          <w:rFonts w:hint="eastAsia"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ind w:firstLine="0" w:firstLineChars="0"/>
        <w:jc w:val="center"/>
        <w:rPr>
          <w:rFonts w:cs="宋体" w:asciiTheme="minorEastAsia" w:hAnsiTheme="minorEastAsia" w:eastAsiaTheme="minorEastAsia"/>
          <w:b/>
          <w:color w:val="auto"/>
          <w:spacing w:val="20"/>
          <w:sz w:val="30"/>
          <w:szCs w:val="30"/>
        </w:rPr>
      </w:pPr>
    </w:p>
    <w:p>
      <w:pPr>
        <w:pStyle w:val="5"/>
        <w:rPr>
          <w:rFonts w:ascii="Times New Roman" w:hAnsi="Times New Roman" w:cs="Times New Roman"/>
          <w:color w:val="auto"/>
        </w:rPr>
      </w:pPr>
      <w:r>
        <w:rPr>
          <w:rFonts w:hint="eastAsia"/>
          <w:color w:val="auto"/>
        </w:rPr>
        <w:br w:type="page"/>
      </w:r>
      <w:bookmarkStart w:id="123" w:name="_Toc5384"/>
      <w:r>
        <w:rPr>
          <w:rFonts w:hint="eastAsia"/>
          <w:color w:val="auto"/>
          <w:lang w:eastAsia="zh-CN"/>
        </w:rPr>
        <w:t>附件十三</w:t>
      </w:r>
      <w:r>
        <w:rPr>
          <w:rFonts w:hint="eastAsia"/>
          <w:color w:val="auto"/>
          <w:lang w:val="en-US" w:eastAsia="zh-CN"/>
        </w:rPr>
        <w:t xml:space="preserve"> </w:t>
      </w:r>
      <w:r>
        <w:rPr>
          <w:rFonts w:ascii="宋体" w:hAnsi="宋体" w:cs="Times New Roman"/>
          <w:color w:val="auto"/>
        </w:rPr>
        <w:t>代理证明（或制造商出具的授权书）</w:t>
      </w:r>
      <w:bookmarkEnd w:id="123"/>
    </w:p>
    <w:p>
      <w:pPr>
        <w:snapToGrid w:val="0"/>
        <w:spacing w:line="300" w:lineRule="auto"/>
        <w:jc w:val="center"/>
        <w:rPr>
          <w:rFonts w:eastAsia="华文中宋"/>
          <w:b/>
          <w:bCs/>
          <w:color w:val="auto"/>
          <w:sz w:val="32"/>
          <w:szCs w:val="32"/>
        </w:rPr>
      </w:pPr>
      <w:r>
        <w:rPr>
          <w:rFonts w:ascii="华文中宋" w:hAnsi="华文中宋" w:eastAsia="华文中宋"/>
          <w:b/>
          <w:bCs/>
          <w:color w:val="auto"/>
          <w:sz w:val="32"/>
          <w:szCs w:val="32"/>
        </w:rPr>
        <w:t>代理证明（或制造商出具的授权书）</w:t>
      </w:r>
    </w:p>
    <w:p>
      <w:pPr>
        <w:spacing w:line="360" w:lineRule="auto"/>
        <w:rPr>
          <w:color w:val="auto"/>
        </w:rPr>
      </w:pPr>
      <w:r>
        <w:rPr>
          <w:color w:val="auto"/>
        </w:rPr>
        <w:t xml:space="preserve"> </w:t>
      </w:r>
    </w:p>
    <w:p>
      <w:pPr>
        <w:spacing w:line="360" w:lineRule="auto"/>
        <w:rPr>
          <w:color w:val="auto"/>
          <w:kern w:val="0"/>
        </w:rPr>
      </w:pPr>
      <w:r>
        <w:rPr>
          <w:rFonts w:ascii="宋体" w:hAnsi="宋体"/>
          <w:color w:val="auto"/>
        </w:rPr>
        <w:t>附：</w:t>
      </w:r>
      <w:r>
        <w:rPr>
          <w:rFonts w:ascii="宋体" w:hAnsi="宋体"/>
          <w:color w:val="auto"/>
          <w:kern w:val="0"/>
        </w:rPr>
        <w:t>制造商出具的授权书参考格式：</w:t>
      </w:r>
    </w:p>
    <w:p>
      <w:pPr>
        <w:spacing w:line="360" w:lineRule="auto"/>
        <w:rPr>
          <w:color w:val="auto"/>
        </w:rPr>
      </w:pPr>
      <w:r>
        <w:rPr>
          <w:color w:val="auto"/>
        </w:rPr>
        <w:t xml:space="preserve"> </w:t>
      </w:r>
    </w:p>
    <w:p>
      <w:pPr>
        <w:spacing w:line="360" w:lineRule="auto"/>
        <w:rPr>
          <w:color w:val="auto"/>
        </w:rPr>
      </w:pPr>
      <w:r>
        <w:rPr>
          <w:rFonts w:ascii="宋体" w:hAnsi="宋体"/>
          <w:color w:val="auto"/>
        </w:rPr>
        <w:t>致：</w:t>
      </w:r>
      <w:r>
        <w:rPr>
          <w:color w:val="auto"/>
        </w:rPr>
        <w:t>_</w:t>
      </w:r>
      <w:r>
        <w:rPr>
          <w:color w:val="auto"/>
          <w:u w:val="single"/>
        </w:rPr>
        <w:t>_       _</w:t>
      </w:r>
      <w:r>
        <w:rPr>
          <w:color w:val="auto"/>
        </w:rPr>
        <w:t>_</w:t>
      </w:r>
      <w:r>
        <w:rPr>
          <w:rFonts w:ascii="宋体" w:hAnsi="宋体"/>
          <w:color w:val="auto"/>
        </w:rPr>
        <w:t>（采购代理机构）：</w:t>
      </w:r>
    </w:p>
    <w:p>
      <w:pPr>
        <w:spacing w:line="360" w:lineRule="auto"/>
        <w:rPr>
          <w:color w:val="auto"/>
        </w:rPr>
      </w:pPr>
      <w:r>
        <w:rPr>
          <w:color w:val="auto"/>
        </w:rPr>
        <w:t xml:space="preserve"> </w:t>
      </w:r>
    </w:p>
    <w:p>
      <w:pPr>
        <w:spacing w:line="360" w:lineRule="auto"/>
        <w:rPr>
          <w:color w:val="auto"/>
        </w:rPr>
      </w:pPr>
      <w:r>
        <w:rPr>
          <w:color w:val="auto"/>
        </w:rPr>
        <w:t xml:space="preserve">    </w:t>
      </w:r>
      <w:r>
        <w:rPr>
          <w:rFonts w:ascii="宋体" w:hAnsi="宋体"/>
          <w:color w:val="auto"/>
        </w:rPr>
        <w:t>我们</w:t>
      </w:r>
      <w:r>
        <w:rPr>
          <w:rFonts w:ascii="宋体" w:hAnsi="宋体"/>
          <w:color w:val="auto"/>
          <w:u w:val="single"/>
        </w:rPr>
        <w:t>（</w:t>
      </w:r>
      <w:r>
        <w:rPr>
          <w:rFonts w:ascii="宋体" w:hAnsi="宋体"/>
          <w:i/>
          <w:iCs/>
          <w:color w:val="auto"/>
          <w:u w:val="single"/>
        </w:rPr>
        <w:t>制造商名称</w:t>
      </w:r>
      <w:r>
        <w:rPr>
          <w:rFonts w:ascii="宋体" w:hAnsi="宋体"/>
          <w:color w:val="auto"/>
          <w:u w:val="single"/>
        </w:rPr>
        <w:t>）</w:t>
      </w:r>
      <w:r>
        <w:rPr>
          <w:rFonts w:ascii="宋体" w:hAnsi="宋体"/>
          <w:color w:val="auto"/>
        </w:rPr>
        <w:t>是按</w:t>
      </w:r>
      <w:r>
        <w:rPr>
          <w:rFonts w:ascii="宋体" w:hAnsi="宋体"/>
          <w:color w:val="auto"/>
          <w:u w:val="single"/>
        </w:rPr>
        <w:t>（</w:t>
      </w:r>
      <w:r>
        <w:rPr>
          <w:rFonts w:ascii="宋体" w:hAnsi="宋体"/>
          <w:i/>
          <w:iCs/>
          <w:color w:val="auto"/>
          <w:u w:val="single"/>
        </w:rPr>
        <w:t>国家或地区的名称</w:t>
      </w:r>
      <w:r>
        <w:rPr>
          <w:rFonts w:ascii="宋体" w:hAnsi="宋体"/>
          <w:color w:val="auto"/>
          <w:u w:val="single"/>
        </w:rPr>
        <w:t>）</w:t>
      </w:r>
      <w:r>
        <w:rPr>
          <w:rFonts w:ascii="宋体" w:hAnsi="宋体"/>
          <w:color w:val="auto"/>
        </w:rPr>
        <w:t>法律成立的一家制造商，主要营业地点设在</w:t>
      </w:r>
      <w:r>
        <w:rPr>
          <w:rFonts w:ascii="宋体" w:hAnsi="宋体"/>
          <w:color w:val="auto"/>
          <w:u w:val="single"/>
        </w:rPr>
        <w:t>（</w:t>
      </w:r>
      <w:r>
        <w:rPr>
          <w:rFonts w:ascii="宋体" w:hAnsi="宋体"/>
          <w:i/>
          <w:iCs/>
          <w:color w:val="auto"/>
          <w:u w:val="single"/>
        </w:rPr>
        <w:t>制造商地址</w:t>
      </w:r>
      <w:r>
        <w:rPr>
          <w:rFonts w:ascii="宋体" w:hAnsi="宋体"/>
          <w:color w:val="auto"/>
          <w:u w:val="single"/>
        </w:rPr>
        <w:t>）</w:t>
      </w:r>
      <w:r>
        <w:rPr>
          <w:rFonts w:ascii="宋体" w:hAnsi="宋体"/>
          <w:color w:val="auto"/>
        </w:rPr>
        <w:t>。兹指派按</w:t>
      </w:r>
      <w:r>
        <w:rPr>
          <w:rFonts w:ascii="宋体" w:hAnsi="宋体"/>
          <w:color w:val="auto"/>
          <w:u w:val="single"/>
        </w:rPr>
        <w:t>（</w:t>
      </w:r>
      <w:r>
        <w:rPr>
          <w:rFonts w:ascii="宋体" w:hAnsi="宋体"/>
          <w:i/>
          <w:iCs/>
          <w:color w:val="auto"/>
          <w:u w:val="single"/>
        </w:rPr>
        <w:t>国家名称</w:t>
      </w:r>
      <w:r>
        <w:rPr>
          <w:rFonts w:ascii="宋体" w:hAnsi="宋体"/>
          <w:color w:val="auto"/>
          <w:u w:val="single"/>
        </w:rPr>
        <w:t>）</w:t>
      </w:r>
      <w:r>
        <w:rPr>
          <w:rFonts w:ascii="宋体" w:hAnsi="宋体"/>
          <w:color w:val="auto"/>
        </w:rPr>
        <w:t>的法律正式成立的，主要营业地点设在</w:t>
      </w:r>
      <w:r>
        <w:rPr>
          <w:rFonts w:ascii="宋体" w:hAnsi="宋体"/>
          <w:color w:val="auto"/>
          <w:u w:val="single"/>
        </w:rPr>
        <w:t>（</w:t>
      </w:r>
      <w:r>
        <w:rPr>
          <w:rFonts w:ascii="宋体" w:hAnsi="宋体"/>
          <w:i/>
          <w:iCs/>
          <w:color w:val="auto"/>
          <w:u w:val="single"/>
        </w:rPr>
        <w:t>贸易公司地址</w:t>
      </w:r>
      <w:r>
        <w:rPr>
          <w:rFonts w:ascii="宋体" w:hAnsi="宋体"/>
          <w:color w:val="auto"/>
          <w:u w:val="single"/>
        </w:rPr>
        <w:t>）</w:t>
      </w:r>
      <w:r>
        <w:rPr>
          <w:rFonts w:ascii="宋体" w:hAnsi="宋体"/>
          <w:color w:val="auto"/>
        </w:rPr>
        <w:t>的</w:t>
      </w:r>
      <w:r>
        <w:rPr>
          <w:rFonts w:ascii="宋体" w:hAnsi="宋体"/>
          <w:color w:val="auto"/>
          <w:u w:val="single"/>
        </w:rPr>
        <w:t>（</w:t>
      </w:r>
      <w:r>
        <w:rPr>
          <w:rFonts w:ascii="宋体" w:hAnsi="宋体"/>
          <w:i/>
          <w:iCs/>
          <w:color w:val="auto"/>
          <w:u w:val="single"/>
        </w:rPr>
        <w:t>贸易公司名称</w:t>
      </w:r>
      <w:r>
        <w:rPr>
          <w:rFonts w:ascii="宋体" w:hAnsi="宋体"/>
          <w:color w:val="auto"/>
          <w:u w:val="single"/>
        </w:rPr>
        <w:t>）</w:t>
      </w:r>
      <w:r>
        <w:rPr>
          <w:rFonts w:ascii="宋体" w:hAnsi="宋体"/>
          <w:color w:val="auto"/>
        </w:rPr>
        <w:t>作为我方真正的和合法的代理人进行下列有效的活动：</w:t>
      </w:r>
    </w:p>
    <w:p>
      <w:pPr>
        <w:spacing w:line="360" w:lineRule="auto"/>
        <w:rPr>
          <w:color w:val="auto"/>
        </w:rPr>
      </w:pPr>
      <w:r>
        <w:rPr>
          <w:color w:val="auto"/>
        </w:rPr>
        <w:t xml:space="preserve">    </w:t>
      </w:r>
      <w:r>
        <w:rPr>
          <w:rFonts w:ascii="宋体" w:hAnsi="宋体"/>
          <w:color w:val="auto"/>
        </w:rPr>
        <w:t>（</w:t>
      </w:r>
      <w:r>
        <w:rPr>
          <w:color w:val="auto"/>
        </w:rPr>
        <w:t>1</w:t>
      </w:r>
      <w:r>
        <w:rPr>
          <w:rFonts w:ascii="宋体" w:hAnsi="宋体"/>
          <w:color w:val="auto"/>
        </w:rPr>
        <w:t>）代表我方在中华人民共和国办理贵方第</w:t>
      </w:r>
      <w:r>
        <w:rPr>
          <w:color w:val="auto"/>
          <w:u w:val="single"/>
        </w:rPr>
        <w:t xml:space="preserve">     </w:t>
      </w:r>
      <w:r>
        <w:rPr>
          <w:rFonts w:ascii="宋体" w:hAnsi="宋体"/>
          <w:color w:val="auto"/>
        </w:rPr>
        <w:t>号（项目编号）招标邀请要求提供的由我方制造的货物的有关事宜，并对我方具有约束力。</w:t>
      </w:r>
    </w:p>
    <w:p>
      <w:pPr>
        <w:spacing w:line="360" w:lineRule="auto"/>
        <w:rPr>
          <w:color w:val="auto"/>
        </w:rPr>
      </w:pPr>
      <w:r>
        <w:rPr>
          <w:color w:val="auto"/>
        </w:rPr>
        <w:t xml:space="preserve">    </w:t>
      </w:r>
      <w:r>
        <w:rPr>
          <w:rFonts w:ascii="宋体" w:hAnsi="宋体"/>
          <w:color w:val="auto"/>
        </w:rPr>
        <w:t>（</w:t>
      </w:r>
      <w:r>
        <w:rPr>
          <w:color w:val="auto"/>
        </w:rPr>
        <w:t>2</w:t>
      </w:r>
      <w:r>
        <w:rPr>
          <w:rFonts w:ascii="宋体" w:hAnsi="宋体"/>
          <w:color w:val="auto"/>
        </w:rPr>
        <w:t>）作为制造商，我方保证以投标合作者来约束自己，并对该投标共同和分别承担采购文件中所规定的义务。</w:t>
      </w:r>
    </w:p>
    <w:p>
      <w:pPr>
        <w:spacing w:line="360" w:lineRule="auto"/>
        <w:ind w:firstLine="480"/>
        <w:rPr>
          <w:color w:val="auto"/>
        </w:rPr>
      </w:pPr>
      <w:r>
        <w:rPr>
          <w:rFonts w:ascii="宋体" w:hAnsi="宋体"/>
          <w:color w:val="auto"/>
        </w:rPr>
        <w:t>（</w:t>
      </w:r>
      <w:r>
        <w:rPr>
          <w:color w:val="auto"/>
        </w:rPr>
        <w:t>3</w:t>
      </w:r>
      <w:r>
        <w:rPr>
          <w:rFonts w:ascii="宋体" w:hAnsi="宋体"/>
          <w:color w:val="auto"/>
        </w:rPr>
        <w:t>）我方兹授予</w:t>
      </w:r>
      <w:r>
        <w:rPr>
          <w:rFonts w:ascii="宋体" w:hAnsi="宋体"/>
          <w:color w:val="auto"/>
          <w:u w:val="single"/>
        </w:rPr>
        <w:t>（</w:t>
      </w:r>
      <w:r>
        <w:rPr>
          <w:rFonts w:ascii="宋体" w:hAnsi="宋体"/>
          <w:i/>
          <w:iCs/>
          <w:color w:val="auto"/>
          <w:u w:val="single"/>
        </w:rPr>
        <w:t>贸易公司名称</w:t>
      </w:r>
      <w:r>
        <w:rPr>
          <w:rFonts w:ascii="宋体" w:hAnsi="宋体"/>
          <w:color w:val="auto"/>
          <w:u w:val="single"/>
        </w:rPr>
        <w:t>）</w:t>
      </w:r>
      <w:r>
        <w:rPr>
          <w:rFonts w:ascii="宋体" w:hAnsi="宋体"/>
          <w:color w:val="auto"/>
        </w:rPr>
        <w:t>全权办理和履行上述我方为完成上述各点所必须的事宜，具有替换或撤消的全权。兹确认</w:t>
      </w:r>
      <w:r>
        <w:rPr>
          <w:rFonts w:ascii="宋体" w:hAnsi="宋体"/>
          <w:color w:val="auto"/>
          <w:u w:val="single"/>
        </w:rPr>
        <w:t>（</w:t>
      </w:r>
      <w:r>
        <w:rPr>
          <w:rFonts w:ascii="宋体" w:hAnsi="宋体"/>
          <w:i/>
          <w:iCs/>
          <w:color w:val="auto"/>
          <w:u w:val="single"/>
        </w:rPr>
        <w:t>贸易公司名称</w:t>
      </w:r>
      <w:r>
        <w:rPr>
          <w:rFonts w:ascii="宋体" w:hAnsi="宋体"/>
          <w:color w:val="auto"/>
          <w:u w:val="single"/>
        </w:rPr>
        <w:t>）</w:t>
      </w:r>
      <w:r>
        <w:rPr>
          <w:rFonts w:ascii="宋体" w:hAnsi="宋体"/>
          <w:color w:val="auto"/>
        </w:rPr>
        <w:t>或其正式授权代表依此合法地办理一切事宜。</w:t>
      </w:r>
    </w:p>
    <w:p>
      <w:pPr>
        <w:spacing w:line="360" w:lineRule="auto"/>
        <w:ind w:firstLine="480"/>
        <w:rPr>
          <w:color w:val="auto"/>
        </w:rPr>
      </w:pPr>
      <w:r>
        <w:rPr>
          <w:rFonts w:ascii="宋体" w:hAnsi="宋体"/>
          <w:color w:val="auto"/>
        </w:rPr>
        <w:t>我方于</w:t>
      </w:r>
      <w:r>
        <w:rPr>
          <w:color w:val="auto"/>
          <w:u w:val="single"/>
        </w:rPr>
        <w:t xml:space="preserve">   </w:t>
      </w:r>
      <w:r>
        <w:rPr>
          <w:rFonts w:ascii="宋体" w:hAnsi="宋体"/>
          <w:color w:val="auto"/>
        </w:rPr>
        <w:t>年</w:t>
      </w:r>
      <w:r>
        <w:rPr>
          <w:color w:val="auto"/>
          <w:u w:val="single"/>
        </w:rPr>
        <w:t xml:space="preserve">   </w:t>
      </w:r>
      <w:r>
        <w:rPr>
          <w:rFonts w:ascii="宋体" w:hAnsi="宋体"/>
          <w:color w:val="auto"/>
        </w:rPr>
        <w:t>月</w:t>
      </w:r>
      <w:r>
        <w:rPr>
          <w:color w:val="auto"/>
          <w:u w:val="single"/>
        </w:rPr>
        <w:t xml:space="preserve">  </w:t>
      </w:r>
      <w:r>
        <w:rPr>
          <w:rFonts w:ascii="宋体" w:hAnsi="宋体"/>
          <w:color w:val="auto"/>
        </w:rPr>
        <w:t>日签署本文件，</w:t>
      </w:r>
      <w:r>
        <w:rPr>
          <w:rFonts w:ascii="宋体" w:hAnsi="宋体"/>
          <w:color w:val="auto"/>
          <w:u w:val="single"/>
        </w:rPr>
        <w:t>（</w:t>
      </w:r>
      <w:r>
        <w:rPr>
          <w:rFonts w:ascii="宋体" w:hAnsi="宋体"/>
          <w:i/>
          <w:iCs/>
          <w:color w:val="auto"/>
          <w:u w:val="single"/>
        </w:rPr>
        <w:t>贸易公司名称</w:t>
      </w:r>
      <w:r>
        <w:rPr>
          <w:rFonts w:ascii="宋体" w:hAnsi="宋体"/>
          <w:color w:val="auto"/>
          <w:u w:val="single"/>
        </w:rPr>
        <w:t>）</w:t>
      </w:r>
      <w:r>
        <w:rPr>
          <w:rFonts w:ascii="宋体" w:hAnsi="宋体"/>
          <w:color w:val="auto"/>
        </w:rPr>
        <w:t>于</w:t>
      </w:r>
      <w:r>
        <w:rPr>
          <w:color w:val="auto"/>
          <w:u w:val="single"/>
        </w:rPr>
        <w:t xml:space="preserve">  </w:t>
      </w:r>
      <w:r>
        <w:rPr>
          <w:rFonts w:ascii="宋体" w:hAnsi="宋体"/>
          <w:color w:val="auto"/>
        </w:rPr>
        <w:t>年</w:t>
      </w:r>
      <w:r>
        <w:rPr>
          <w:color w:val="auto"/>
          <w:u w:val="single"/>
        </w:rPr>
        <w:t xml:space="preserve">  </w:t>
      </w:r>
      <w:r>
        <w:rPr>
          <w:color w:val="auto"/>
        </w:rPr>
        <w:t xml:space="preserve"> </w:t>
      </w:r>
      <w:r>
        <w:rPr>
          <w:rFonts w:ascii="宋体" w:hAnsi="宋体"/>
          <w:color w:val="auto"/>
        </w:rPr>
        <w:t>月</w:t>
      </w:r>
      <w:r>
        <w:rPr>
          <w:color w:val="auto"/>
          <w:u w:val="single"/>
        </w:rPr>
        <w:t xml:space="preserve">   </w:t>
      </w:r>
      <w:r>
        <w:rPr>
          <w:rFonts w:ascii="宋体" w:hAnsi="宋体"/>
          <w:color w:val="auto"/>
        </w:rPr>
        <w:t>日接受此件，以此为证。</w:t>
      </w:r>
    </w:p>
    <w:p>
      <w:pPr>
        <w:spacing w:line="360" w:lineRule="auto"/>
        <w:rPr>
          <w:color w:val="auto"/>
        </w:rPr>
      </w:pPr>
      <w:r>
        <w:rPr>
          <w:color w:val="auto"/>
        </w:rPr>
        <w:t xml:space="preserve"> </w:t>
      </w:r>
    </w:p>
    <w:p>
      <w:pPr>
        <w:spacing w:line="360" w:lineRule="auto"/>
        <w:rPr>
          <w:color w:val="auto"/>
        </w:rPr>
      </w:pPr>
      <w:r>
        <w:rPr>
          <w:rFonts w:ascii="宋体" w:hAnsi="宋体"/>
          <w:color w:val="auto"/>
        </w:rPr>
        <w:t>贸易公司名称：</w:t>
      </w:r>
      <w:r>
        <w:rPr>
          <w:color w:val="auto"/>
          <w:u w:val="single"/>
        </w:rPr>
        <w:t xml:space="preserve">                </w:t>
      </w:r>
      <w:r>
        <w:rPr>
          <w:color w:val="auto"/>
        </w:rPr>
        <w:t xml:space="preserve">     </w:t>
      </w:r>
      <w:r>
        <w:rPr>
          <w:rFonts w:ascii="宋体" w:hAnsi="宋体"/>
          <w:color w:val="auto"/>
        </w:rPr>
        <w:t>制造商名称：</w:t>
      </w:r>
      <w:r>
        <w:rPr>
          <w:color w:val="auto"/>
          <w:u w:val="single"/>
        </w:rPr>
        <w:t xml:space="preserve">                 </w:t>
      </w:r>
    </w:p>
    <w:p>
      <w:pPr>
        <w:spacing w:line="360" w:lineRule="auto"/>
        <w:rPr>
          <w:color w:val="auto"/>
        </w:rPr>
      </w:pPr>
      <w:r>
        <w:rPr>
          <w:rFonts w:ascii="宋体" w:hAnsi="宋体"/>
          <w:color w:val="auto"/>
        </w:rPr>
        <w:t>签字人职务和部门：</w:t>
      </w:r>
      <w:r>
        <w:rPr>
          <w:color w:val="auto"/>
          <w:u w:val="single"/>
        </w:rPr>
        <w:t xml:space="preserve">            </w:t>
      </w:r>
      <w:r>
        <w:rPr>
          <w:color w:val="auto"/>
        </w:rPr>
        <w:t xml:space="preserve">     </w:t>
      </w:r>
      <w:r>
        <w:rPr>
          <w:rFonts w:ascii="宋体" w:hAnsi="宋体"/>
          <w:color w:val="auto"/>
        </w:rPr>
        <w:t>签字人职务和部门：</w:t>
      </w:r>
      <w:r>
        <w:rPr>
          <w:color w:val="auto"/>
          <w:u w:val="single"/>
        </w:rPr>
        <w:t xml:space="preserve">           </w:t>
      </w:r>
    </w:p>
    <w:p>
      <w:pPr>
        <w:spacing w:line="360" w:lineRule="auto"/>
        <w:rPr>
          <w:color w:val="auto"/>
        </w:rPr>
      </w:pPr>
      <w:r>
        <w:rPr>
          <w:rFonts w:ascii="宋体" w:hAnsi="宋体"/>
          <w:color w:val="auto"/>
        </w:rPr>
        <w:t>签字人姓名：</w:t>
      </w:r>
      <w:r>
        <w:rPr>
          <w:color w:val="auto"/>
          <w:u w:val="single"/>
        </w:rPr>
        <w:t xml:space="preserve">                  </w:t>
      </w:r>
      <w:r>
        <w:rPr>
          <w:color w:val="auto"/>
        </w:rPr>
        <w:t xml:space="preserve">     </w:t>
      </w:r>
      <w:r>
        <w:rPr>
          <w:rFonts w:ascii="宋体" w:hAnsi="宋体"/>
          <w:color w:val="auto"/>
        </w:rPr>
        <w:t>签字人姓名：</w:t>
      </w:r>
      <w:r>
        <w:rPr>
          <w:color w:val="auto"/>
          <w:u w:val="single"/>
        </w:rPr>
        <w:t xml:space="preserve">                 </w:t>
      </w:r>
    </w:p>
    <w:p>
      <w:pPr>
        <w:spacing w:line="360" w:lineRule="auto"/>
        <w:rPr>
          <w:color w:val="auto"/>
        </w:rPr>
      </w:pPr>
      <w:r>
        <w:rPr>
          <w:rFonts w:ascii="宋体" w:hAnsi="宋体"/>
          <w:color w:val="auto"/>
        </w:rPr>
        <w:t>签字人签名：</w:t>
      </w:r>
      <w:r>
        <w:rPr>
          <w:color w:val="auto"/>
          <w:u w:val="single"/>
        </w:rPr>
        <w:t xml:space="preserve">                  </w:t>
      </w:r>
      <w:r>
        <w:rPr>
          <w:color w:val="auto"/>
        </w:rPr>
        <w:t xml:space="preserve">     </w:t>
      </w:r>
      <w:r>
        <w:rPr>
          <w:rFonts w:ascii="宋体" w:hAnsi="宋体"/>
          <w:color w:val="auto"/>
        </w:rPr>
        <w:t>签字人签名：</w:t>
      </w:r>
      <w:r>
        <w:rPr>
          <w:color w:val="auto"/>
          <w:u w:val="single"/>
        </w:rPr>
        <w:t xml:space="preserve">                 </w:t>
      </w:r>
    </w:p>
    <w:p>
      <w:pPr>
        <w:spacing w:line="360" w:lineRule="auto"/>
        <w:rPr>
          <w:color w:val="auto"/>
        </w:rPr>
      </w:pPr>
      <w:r>
        <w:rPr>
          <w:rFonts w:ascii="宋体" w:hAnsi="宋体"/>
          <w:color w:val="auto"/>
        </w:rPr>
        <w:t>贸易公司盖章：</w:t>
      </w:r>
      <w:r>
        <w:rPr>
          <w:color w:val="auto"/>
          <w:u w:val="single"/>
        </w:rPr>
        <w:t xml:space="preserve">                </w:t>
      </w:r>
      <w:r>
        <w:rPr>
          <w:color w:val="auto"/>
        </w:rPr>
        <w:t xml:space="preserve">     </w:t>
      </w:r>
      <w:r>
        <w:rPr>
          <w:rFonts w:ascii="宋体" w:hAnsi="宋体"/>
          <w:color w:val="auto"/>
        </w:rPr>
        <w:t>制造商盖章：</w:t>
      </w:r>
      <w:r>
        <w:rPr>
          <w:color w:val="auto"/>
          <w:u w:val="single"/>
        </w:rPr>
        <w:t xml:space="preserve">                 </w:t>
      </w:r>
    </w:p>
    <w:p>
      <w:pPr>
        <w:spacing w:line="360" w:lineRule="auto"/>
        <w:rPr>
          <w:color w:val="auto"/>
        </w:rPr>
      </w:pPr>
      <w:r>
        <w:rPr>
          <w:color w:val="auto"/>
        </w:rPr>
        <w:t xml:space="preserve"> </w:t>
      </w:r>
    </w:p>
    <w:p>
      <w:pPr>
        <w:rPr>
          <w:rFonts w:hint="eastAsia"/>
          <w:color w:val="auto"/>
        </w:rPr>
      </w:pPr>
    </w:p>
    <w:p>
      <w:pPr>
        <w:rPr>
          <w:rFonts w:hint="eastAsia"/>
          <w:color w:val="auto"/>
        </w:rPr>
      </w:pPr>
      <w:r>
        <w:rPr>
          <w:rFonts w:hint="eastAsia"/>
          <w:color w:val="auto"/>
        </w:rPr>
        <w:br w:type="page"/>
      </w:r>
    </w:p>
    <w:p>
      <w:pPr>
        <w:pStyle w:val="6"/>
        <w:rPr>
          <w:color w:val="auto"/>
        </w:rPr>
      </w:pPr>
      <w:r>
        <w:rPr>
          <w:rFonts w:hint="eastAsia"/>
          <w:color w:val="auto"/>
        </w:rPr>
        <w:t>附件十</w:t>
      </w:r>
      <w:r>
        <w:rPr>
          <w:rFonts w:hint="eastAsia"/>
          <w:color w:val="auto"/>
          <w:lang w:eastAsia="zh-CN"/>
        </w:rPr>
        <w:t>四</w:t>
      </w:r>
      <w:r>
        <w:rPr>
          <w:rFonts w:hint="eastAsia"/>
          <w:color w:val="auto"/>
        </w:rPr>
        <w:t xml:space="preserve"> 培训计划</w:t>
      </w:r>
    </w:p>
    <w:p>
      <w:pPr>
        <w:ind w:firstLine="420"/>
        <w:rPr>
          <w:rFonts w:asciiTheme="minorEastAsia" w:hAnsiTheme="minorEastAsia" w:eastAsiaTheme="minorEastAsia"/>
          <w:color w:val="auto"/>
        </w:rPr>
      </w:pPr>
    </w:p>
    <w:p>
      <w:pPr>
        <w:ind w:firstLine="0" w:firstLineChars="0"/>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培训计划</w:t>
      </w:r>
    </w:p>
    <w:p>
      <w:pPr>
        <w:ind w:firstLine="0" w:firstLineChars="0"/>
        <w:jc w:val="center"/>
        <w:rPr>
          <w:rFonts w:cs="宋体" w:asciiTheme="minorEastAsia" w:hAnsiTheme="minorEastAsia" w:eastAsiaTheme="minorEastAsia"/>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（由投标人根据采购需求自行编制）</w:t>
      </w: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附表：培训日程及费用</w:t>
      </w: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263"/>
        <w:gridCol w:w="1359"/>
        <w:gridCol w:w="1359"/>
        <w:gridCol w:w="1359"/>
        <w:gridCol w:w="135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课程名称</w:t>
            </w:r>
          </w:p>
        </w:tc>
        <w:tc>
          <w:tcPr>
            <w:tcW w:w="126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培训资料</w:t>
            </w:r>
          </w:p>
        </w:tc>
        <w:tc>
          <w:tcPr>
            <w:tcW w:w="135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持续时间</w:t>
            </w:r>
          </w:p>
        </w:tc>
        <w:tc>
          <w:tcPr>
            <w:tcW w:w="135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授课教师</w:t>
            </w:r>
          </w:p>
        </w:tc>
        <w:tc>
          <w:tcPr>
            <w:tcW w:w="135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培训对象</w:t>
            </w:r>
          </w:p>
        </w:tc>
        <w:tc>
          <w:tcPr>
            <w:tcW w:w="135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培训地点</w:t>
            </w:r>
          </w:p>
        </w:tc>
        <w:tc>
          <w:tcPr>
            <w:tcW w:w="136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课程费用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费用总计</w:t>
            </w: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bl>
    <w:p>
      <w:pPr>
        <w:ind w:firstLine="50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注：培训费用包含在投标报价中。</w:t>
      </w:r>
    </w:p>
    <w:p>
      <w:pPr>
        <w:ind w:firstLine="0" w:firstLineChars="0"/>
        <w:rPr>
          <w:rFonts w:cs="宋体" w:asciiTheme="minorEastAsia" w:hAnsiTheme="minorEastAsia" w:eastAsiaTheme="minorEastAsia"/>
          <w:b/>
          <w:color w:val="auto"/>
          <w:spacing w:val="20"/>
          <w:szCs w:val="21"/>
        </w:rPr>
      </w:pPr>
    </w:p>
    <w:p>
      <w:pPr>
        <w:pStyle w:val="2"/>
        <w:ind w:firstLine="210"/>
        <w:rPr>
          <w:rFonts w:asciiTheme="minorEastAsia" w:hAnsiTheme="minorEastAsia" w:eastAsiaTheme="minorEastAsia"/>
          <w:color w:val="auto"/>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投标人全称（盖章）：</w:t>
      </w:r>
    </w:p>
    <w:p>
      <w:pPr>
        <w:adjustRightInd w:val="0"/>
        <w:snapToGrid w:val="0"/>
        <w:ind w:firstLine="0" w:firstLineChars="0"/>
        <w:rPr>
          <w:rFonts w:hint="eastAsia"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授权委托人（签字或盖章）：</w:t>
      </w:r>
    </w:p>
    <w:p>
      <w:pPr>
        <w:adjustRightInd w:val="0"/>
        <w:snapToGrid w:val="0"/>
        <w:ind w:firstLine="0" w:firstLineChars="0"/>
        <w:rPr>
          <w:rFonts w:hint="eastAsia"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附件十</w:t>
      </w:r>
      <w:r>
        <w:rPr>
          <w:rFonts w:hint="eastAsia"/>
          <w:color w:val="auto"/>
          <w:lang w:eastAsia="zh-CN"/>
        </w:rPr>
        <w:t>五</w:t>
      </w:r>
      <w:r>
        <w:rPr>
          <w:rFonts w:hint="eastAsia"/>
          <w:color w:val="auto"/>
        </w:rPr>
        <w:t xml:space="preserve"> 售后服务方案</w:t>
      </w:r>
    </w:p>
    <w:p>
      <w:pPr>
        <w:ind w:firstLine="0" w:firstLineChars="0"/>
        <w:rPr>
          <w:rFonts w:cs="宋体" w:asciiTheme="minorEastAsia" w:hAnsiTheme="minorEastAsia" w:eastAsiaTheme="minorEastAsia"/>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（由投标人根据采购需求及招标文件要求编写）</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b/>
          <w:color w:val="auto"/>
          <w:spacing w:val="20"/>
          <w:szCs w:val="21"/>
        </w:rPr>
        <w:t>附件十五表A：售后服务机构情况表</w:t>
      </w:r>
      <w:r>
        <w:rPr>
          <w:rFonts w:hint="eastAsia" w:cs="宋体" w:asciiTheme="minorEastAsia" w:hAnsiTheme="minorEastAsia" w:eastAsiaTheme="minorEastAsia"/>
          <w:color w:val="auto"/>
          <w:spacing w:val="20"/>
          <w:szCs w:val="21"/>
        </w:rPr>
        <w:t>（按此格式自制）</w:t>
      </w: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699"/>
        <w:gridCol w:w="1671"/>
        <w:gridCol w:w="1671"/>
        <w:gridCol w:w="1671"/>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1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机构名称</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机构性质</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注册地址</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服务技术</w:t>
            </w: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人员数量</w:t>
            </w:r>
          </w:p>
        </w:tc>
        <w:tc>
          <w:tcPr>
            <w:tcW w:w="167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注：关于项目涉及的所有售后服务机构均在本表注明，包括投标人本单位和符和条件的第三方服务机构。</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b/>
          <w:color w:val="auto"/>
          <w:spacing w:val="20"/>
          <w:szCs w:val="21"/>
        </w:rPr>
      </w:pPr>
      <w:r>
        <w:rPr>
          <w:rFonts w:hint="eastAsia" w:cs="宋体" w:asciiTheme="minorEastAsia" w:hAnsiTheme="minorEastAsia" w:eastAsiaTheme="minorEastAsia"/>
          <w:b/>
          <w:color w:val="auto"/>
          <w:spacing w:val="20"/>
          <w:szCs w:val="21"/>
        </w:rPr>
        <w:t>附件十五表B：售后服务人员情况表</w:t>
      </w:r>
      <w:r>
        <w:rPr>
          <w:rFonts w:hint="eastAsia" w:cs="宋体" w:asciiTheme="minorEastAsia" w:hAnsiTheme="minorEastAsia" w:eastAsiaTheme="minorEastAsia"/>
          <w:color w:val="auto"/>
          <w:spacing w:val="20"/>
          <w:szCs w:val="21"/>
        </w:rPr>
        <w:t>（按此格式自制）</w:t>
      </w:r>
    </w:p>
    <w:tbl>
      <w:tblPr>
        <w:tblStyle w:val="26"/>
        <w:tblW w:w="8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5"/>
        <w:gridCol w:w="826"/>
        <w:gridCol w:w="825"/>
        <w:gridCol w:w="826"/>
        <w:gridCol w:w="825"/>
        <w:gridCol w:w="826"/>
        <w:gridCol w:w="1145"/>
        <w:gridCol w:w="866"/>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姓名</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性别</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年龄</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学历</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专业</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职称</w:t>
            </w:r>
          </w:p>
        </w:tc>
        <w:tc>
          <w:tcPr>
            <w:tcW w:w="114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本项目中的职责</w:t>
            </w:r>
          </w:p>
        </w:tc>
        <w:tc>
          <w:tcPr>
            <w:tcW w:w="86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响应时间</w:t>
            </w:r>
          </w:p>
        </w:tc>
        <w:tc>
          <w:tcPr>
            <w:tcW w:w="862"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到达现场时间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jc w:val="right"/>
        <w:rPr>
          <w:rFonts w:cs="宋体" w:asciiTheme="minorEastAsia" w:hAnsiTheme="minorEastAsia" w:eastAsiaTheme="minorEastAsia"/>
          <w:color w:val="auto"/>
          <w:spacing w:val="20"/>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法定代表人或授权委托人（签字或盖章）：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ind w:firstLine="0" w:firstLineChars="0"/>
        <w:jc w:val="center"/>
        <w:rPr>
          <w:rFonts w:cs="宋体" w:asciiTheme="minorEastAsia" w:hAnsiTheme="minorEastAsia" w:eastAsiaTheme="minorEastAsia"/>
          <w:b/>
          <w:color w:val="auto"/>
          <w:spacing w:val="20"/>
          <w:szCs w:val="21"/>
        </w:rPr>
      </w:pPr>
    </w:p>
    <w:p>
      <w:pP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br w:type="page"/>
      </w:r>
    </w:p>
    <w:p>
      <w:pPr>
        <w:pStyle w:val="4"/>
        <w:ind w:firstLine="0" w:firstLineChars="0"/>
        <w:rPr>
          <w:rFonts w:cs="宋体" w:asciiTheme="minorEastAsia" w:hAnsiTheme="minorEastAsia" w:eastAsiaTheme="minorEastAsia"/>
          <w:color w:val="auto"/>
          <w:sz w:val="32"/>
          <w:szCs w:val="32"/>
        </w:rPr>
      </w:pPr>
      <w:bookmarkStart w:id="124" w:name="_Toc450840090"/>
      <w:bookmarkStart w:id="125" w:name="_Toc14080"/>
      <w:r>
        <w:rPr>
          <w:rFonts w:hint="eastAsia" w:cs="宋体" w:asciiTheme="minorEastAsia" w:hAnsiTheme="minorEastAsia" w:eastAsiaTheme="minorEastAsia"/>
          <w:color w:val="auto"/>
          <w:sz w:val="32"/>
          <w:szCs w:val="32"/>
        </w:rPr>
        <w:t>第六章 评标办法</w:t>
      </w:r>
      <w:bookmarkEnd w:id="124"/>
      <w:bookmarkEnd w:id="125"/>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本评标办法遵照《政府采购货物和服务招标投标管理办法》（财政部令第8</w:t>
      </w:r>
      <w:r>
        <w:rPr>
          <w:rFonts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rPr>
        <w:t>号）的有关规定，结合本项目的具体情况制定。</w:t>
      </w:r>
    </w:p>
    <w:p>
      <w:pPr>
        <w:pStyle w:val="5"/>
        <w:rPr>
          <w:rFonts w:cs="宋体" w:asciiTheme="minorEastAsia" w:hAnsiTheme="minorEastAsia" w:eastAsiaTheme="minorEastAsia"/>
          <w:color w:val="auto"/>
          <w:szCs w:val="21"/>
        </w:rPr>
      </w:pPr>
      <w:bookmarkStart w:id="126" w:name="_Toc2078387"/>
      <w:bookmarkStart w:id="127" w:name="_Toc22527"/>
      <w:r>
        <w:rPr>
          <w:rFonts w:hint="eastAsia" w:cs="宋体" w:asciiTheme="minorEastAsia" w:hAnsiTheme="minorEastAsia" w:eastAsiaTheme="minorEastAsia"/>
          <w:color w:val="auto"/>
          <w:szCs w:val="21"/>
        </w:rPr>
        <w:t>1总则</w:t>
      </w:r>
      <w:bookmarkEnd w:id="126"/>
      <w:bookmarkEnd w:id="127"/>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采购工作遵循公开、公正、公平、择优和诚实信用的原则，评审人员</w:t>
      </w:r>
      <w:r>
        <w:rPr>
          <w:rFonts w:asciiTheme="minorEastAsia" w:hAnsiTheme="minorEastAsia" w:eastAsiaTheme="minorEastAsia"/>
          <w:color w:val="auto"/>
          <w:spacing w:val="6"/>
          <w:szCs w:val="21"/>
        </w:rPr>
        <w:t>依据采购文件规定的办法、标准和要求，客观</w:t>
      </w:r>
      <w:r>
        <w:rPr>
          <w:rFonts w:hint="eastAsia" w:asciiTheme="minorEastAsia" w:hAnsiTheme="minorEastAsia" w:eastAsiaTheme="minorEastAsia"/>
          <w:color w:val="auto"/>
          <w:spacing w:val="6"/>
          <w:szCs w:val="21"/>
        </w:rPr>
        <w:t>、</w:t>
      </w:r>
      <w:r>
        <w:rPr>
          <w:rFonts w:asciiTheme="minorEastAsia" w:hAnsiTheme="minorEastAsia" w:eastAsiaTheme="minorEastAsia"/>
          <w:color w:val="auto"/>
          <w:spacing w:val="6"/>
          <w:szCs w:val="21"/>
        </w:rPr>
        <w:t>独立</w:t>
      </w:r>
      <w:r>
        <w:rPr>
          <w:rFonts w:hint="eastAsia" w:asciiTheme="minorEastAsia" w:hAnsiTheme="minorEastAsia" w:eastAsiaTheme="minorEastAsia"/>
          <w:color w:val="auto"/>
          <w:spacing w:val="6"/>
          <w:szCs w:val="21"/>
        </w:rPr>
        <w:t>、审慎</w:t>
      </w:r>
      <w:r>
        <w:rPr>
          <w:rFonts w:asciiTheme="minorEastAsia" w:hAnsiTheme="minorEastAsia" w:eastAsiaTheme="minorEastAsia"/>
          <w:color w:val="auto"/>
          <w:spacing w:val="6"/>
          <w:szCs w:val="21"/>
        </w:rPr>
        <w:t>地开展评审工作</w:t>
      </w:r>
      <w:r>
        <w:rPr>
          <w:rFonts w:hint="eastAsia" w:cs="宋体" w:asciiTheme="minorEastAsia" w:hAnsiTheme="minorEastAsia" w:eastAsiaTheme="minorEastAsia"/>
          <w:color w:val="auto"/>
          <w:szCs w:val="21"/>
        </w:rPr>
        <w:t>，择优推荐中标候选人。在评标期间，评标委员会及相关工作人员必须严格遵守保密规定，不得泄露评标的有关情况。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对落标人，评标委员会不作任何落标解释。</w:t>
      </w:r>
    </w:p>
    <w:p>
      <w:pPr>
        <w:pStyle w:val="5"/>
        <w:rPr>
          <w:rFonts w:cs="宋体" w:asciiTheme="minorEastAsia" w:hAnsiTheme="minorEastAsia" w:eastAsiaTheme="minorEastAsia"/>
          <w:color w:val="auto"/>
          <w:szCs w:val="21"/>
        </w:rPr>
      </w:pPr>
      <w:bookmarkStart w:id="128" w:name="_Toc2078388"/>
      <w:bookmarkStart w:id="129" w:name="_Toc18810"/>
      <w:r>
        <w:rPr>
          <w:rFonts w:hint="eastAsia" w:cs="宋体" w:asciiTheme="minorEastAsia" w:hAnsiTheme="minorEastAsia" w:eastAsiaTheme="minorEastAsia"/>
          <w:color w:val="auto"/>
          <w:szCs w:val="21"/>
        </w:rPr>
        <w:t>2评标组织</w:t>
      </w:r>
      <w:bookmarkEnd w:id="128"/>
      <w:bookmarkEnd w:id="12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评标工作由采购人或采购代理机构依法组建的评标委员会负责。评标委员会负责审标、询标、评标等工作，并向采购人提出评标意见和评标报告。</w:t>
      </w:r>
    </w:p>
    <w:p>
      <w:pPr>
        <w:pStyle w:val="5"/>
        <w:rPr>
          <w:rFonts w:cs="宋体" w:asciiTheme="minorEastAsia" w:hAnsiTheme="minorEastAsia" w:eastAsiaTheme="minorEastAsia"/>
          <w:color w:val="auto"/>
          <w:szCs w:val="21"/>
        </w:rPr>
      </w:pPr>
      <w:bookmarkStart w:id="130" w:name="_Toc2078389"/>
      <w:bookmarkStart w:id="131" w:name="_Toc31767"/>
      <w:r>
        <w:rPr>
          <w:rFonts w:hint="eastAsia" w:cs="宋体" w:asciiTheme="minorEastAsia" w:hAnsiTheme="minorEastAsia" w:eastAsiaTheme="minorEastAsia"/>
          <w:color w:val="auto"/>
          <w:szCs w:val="21"/>
        </w:rPr>
        <w:t>3评标程序和内容</w:t>
      </w:r>
      <w:bookmarkEnd w:id="130"/>
      <w:bookmarkEnd w:id="131"/>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评标的一般程序为：</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投标文件的资格审查（先进行资格审查，通过之后进入符合性审查及后续程序）；</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熟悉招标文件和评标办法；</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投标文件的符合性审查；</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询标澄清投标文件的疑问；</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投标文件的商务技术文件评标；</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根据评标办法对商务技术文件进行评分；</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报价文件评标及评分；</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完成评标报告，推荐中标候选人。</w:t>
      </w:r>
    </w:p>
    <w:p>
      <w:pPr>
        <w:pStyle w:val="5"/>
        <w:rPr>
          <w:rFonts w:cs="宋体" w:asciiTheme="minorEastAsia" w:hAnsiTheme="minorEastAsia" w:eastAsiaTheme="minorEastAsia"/>
          <w:color w:val="auto"/>
          <w:szCs w:val="21"/>
        </w:rPr>
      </w:pPr>
      <w:bookmarkStart w:id="132" w:name="_Toc2078390"/>
      <w:bookmarkStart w:id="133" w:name="_Toc457"/>
      <w:r>
        <w:rPr>
          <w:rFonts w:hint="eastAsia" w:cs="宋体" w:asciiTheme="minorEastAsia" w:hAnsiTheme="minorEastAsia" w:eastAsiaTheme="minorEastAsia"/>
          <w:color w:val="auto"/>
          <w:szCs w:val="21"/>
        </w:rPr>
        <w:t>4投标文件的审查</w:t>
      </w:r>
      <w:bookmarkEnd w:id="132"/>
      <w:bookmarkEnd w:id="133"/>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评标委员会应当对符合资格的投标人的投标文件进行符合性审查，以确定其是否满足招标文件的实质性要求。如果投标文件实质上不响应招标文件的要求，评标委员会将予以拒绝，并且不允许通过修正或撤消不符合要求的差异或保留，使之成为具有实质性响应的投标文件。</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无效投标</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.1投标文件属下列情况之一的，应当在资格性检查时按照无效投标处理：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资格证明文件不全的，或者不符合招标文件标明的资格要求的。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.2投标文件属下列情况之一的，应当在符合性检查时按照无效投标处理：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（1）未按照招标文件规定要求签署、盖章、装订、密封的；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（2）活页装订（是指用卡条、抽杆夹、订书机等形式装订，使标书可以拆卸或者在翻动过程中易脱落的一种装订方式）的投标文件；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）投标有效期短于投标人须知前附表规定期限的投标文件；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）不响应招标文件实质性要求（招标文件中带“★”条款要求）；</w:t>
      </w:r>
    </w:p>
    <w:p>
      <w:pPr>
        <w:ind w:firstLine="420"/>
        <w:rPr>
          <w:rFonts w:cs="宋体" w:asciiTheme="minorEastAsia" w:hAnsiTheme="minorEastAsia" w:eastAsiaTheme="minorEastAsia"/>
          <w:color w:val="auto"/>
          <w:szCs w:val="21"/>
        </w:rPr>
      </w:pPr>
      <w:bookmarkStart w:id="134" w:name="_Hlk8685816"/>
      <w:r>
        <w:rPr>
          <w:rFonts w:hint="eastAsia" w:cs="宋体" w:asciiTheme="minorEastAsia" w:hAnsiTheme="minorEastAsia" w:eastAsiaTheme="minorEastAsia"/>
          <w:color w:val="auto"/>
          <w:szCs w:val="21"/>
        </w:rPr>
        <w:t>（5）</w:t>
      </w:r>
      <w:r>
        <w:rPr>
          <w:rFonts w:hint="eastAsia" w:asciiTheme="minorEastAsia" w:hAnsiTheme="minorEastAsia" w:eastAsiaTheme="minorEastAsia"/>
          <w:color w:val="auto"/>
        </w:rPr>
        <w:t>招标文件要求的产品有属于《节能产品政府采购品目清单》中政府强制采购产品的，</w:t>
      </w:r>
      <w:r>
        <w:rPr>
          <w:rFonts w:hint="eastAsia" w:cs="宋体" w:asciiTheme="minorEastAsia" w:hAnsiTheme="minorEastAsia" w:eastAsiaTheme="minorEastAsia"/>
          <w:color w:val="auto"/>
          <w:szCs w:val="21"/>
        </w:rPr>
        <w:t>投标文件未提供的，或者未同时提供该产品节能产品认证证书的；</w:t>
      </w:r>
    </w:p>
    <w:bookmarkEnd w:id="134"/>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）投标人存在串通行为或虚假投标的；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rPr>
        <w:t>）投标文件含有采购人不能接受的附加条件的；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8</w:t>
      </w:r>
      <w:r>
        <w:rPr>
          <w:rFonts w:hint="eastAsia" w:cs="宋体" w:asciiTheme="minorEastAsia" w:hAnsiTheme="minorEastAsia" w:eastAsiaTheme="minorEastAsia"/>
          <w:color w:val="auto"/>
          <w:szCs w:val="21"/>
        </w:rPr>
        <w:t>）法律、法规和招标文件规定的其他无效情形的。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.3在报价评标时，如发现下列情形之一的，报价文件将被视为无效，不再进入报价评标环节：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（1）报价超出最高限价，或者超出采购预算金额，采购人不能支付的；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（2）投标报价具有选择性；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（3）不符合招标文件规定要求进行报价的；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spacing w:after="0" w:line="360" w:lineRule="auto"/>
        <w:ind w:firstLine="422" w:firstLineChars="200"/>
        <w:rPr>
          <w:rFonts w:cs="宋体" w:asciiTheme="minorEastAsia" w:hAnsiTheme="minorEastAsia" w:eastAsiaTheme="minorEastAsia"/>
          <w:b/>
          <w:bCs/>
          <w:color w:val="auto"/>
          <w:szCs w:val="21"/>
        </w:rPr>
      </w:pPr>
      <w:bookmarkStart w:id="135" w:name="_Hlk8250502"/>
      <w:r>
        <w:rPr>
          <w:rFonts w:hint="eastAsia" w:cs="宋体" w:asciiTheme="minorEastAsia" w:hAnsiTheme="minorEastAsia" w:eastAsiaTheme="minorEastAsia"/>
          <w:b/>
          <w:bCs/>
          <w:color w:val="auto"/>
          <w:szCs w:val="21"/>
        </w:rPr>
        <w:t>4.</w:t>
      </w:r>
      <w:r>
        <w:rPr>
          <w:rFonts w:cs="宋体" w:asciiTheme="minorEastAsia" w:hAnsiTheme="minorEastAsia" w:eastAsiaTheme="minorEastAsia"/>
          <w:b/>
          <w:bCs/>
          <w:color w:val="auto"/>
          <w:szCs w:val="21"/>
        </w:rPr>
        <w:t>4</w:t>
      </w:r>
      <w:r>
        <w:rPr>
          <w:rFonts w:hint="eastAsia" w:cs="宋体" w:asciiTheme="minorEastAsia" w:hAnsiTheme="minorEastAsia" w:eastAsiaTheme="minorEastAsia"/>
          <w:b/>
          <w:bCs/>
          <w:color w:val="auto"/>
          <w:szCs w:val="21"/>
        </w:rPr>
        <w:t>串通投标情形认定</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4</w:t>
      </w:r>
      <w:r>
        <w:rPr>
          <w:rFonts w:hint="eastAsia" w:cs="宋体" w:asciiTheme="minorEastAsia" w:hAnsiTheme="minorEastAsia" w:eastAsiaTheme="minorEastAsia"/>
          <w:b/>
          <w:color w:val="auto"/>
          <w:szCs w:val="21"/>
        </w:rPr>
        <w:t>.1投标人有下列情形之一的，视为投标人串通投标，其投标无效：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（1）不同投标人的投标文件由同一单位或者个人编制；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（2）不同投标人委托同一单位或者个人办理投标事宜；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（3）不同投标人的投标文件载明的项目管理成员或者联系人员为同一人；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（4）不同投标人的投标文件异常一致或者投标报价呈规律性差异；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（5）不同投标人的投标文件相互混装；</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（6）不同投标人的投标保证金从同一单位或者个人的账户转出。</w:t>
      </w:r>
    </w:p>
    <w:p>
      <w:pPr>
        <w:ind w:firstLine="422"/>
        <w:rPr>
          <w:rFonts w:asciiTheme="minorEastAsia" w:hAnsiTheme="minorEastAsia" w:eastAsiaTheme="minorEastAsia"/>
          <w:b/>
          <w:color w:val="auto"/>
        </w:rPr>
      </w:pPr>
      <w:r>
        <w:rPr>
          <w:rFonts w:hint="eastAsia" w:asciiTheme="minorEastAsia" w:hAnsiTheme="minorEastAsia" w:eastAsiaTheme="minorEastAsia"/>
          <w:b/>
          <w:color w:val="auto"/>
        </w:rPr>
        <w:t>4.</w:t>
      </w:r>
      <w:r>
        <w:rPr>
          <w:rFonts w:asciiTheme="minorEastAsia" w:hAnsiTheme="minorEastAsia" w:eastAsiaTheme="minorEastAsia"/>
          <w:b/>
          <w:color w:val="auto"/>
        </w:rPr>
        <w:t>4</w:t>
      </w:r>
      <w:r>
        <w:rPr>
          <w:rFonts w:hint="eastAsia" w:asciiTheme="minorEastAsia" w:hAnsiTheme="minorEastAsia" w:eastAsiaTheme="minorEastAsia"/>
          <w:b/>
          <w:color w:val="auto"/>
        </w:rPr>
        <w:t>.2投标人有下列情形之一的，属于恶意串通，其投标无效：</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（1）投标人直接或者间接从采购人或者采购代理机构处获得其他投标人的相关情况并修改其投标文件或者响应文件；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（2）投标人按照采购人或者采购代理机构的授意撤换、修改投标文件或者响应文件；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（3）投标人之间协商报价、技术方案等投标文件或者响应文件的实质性内容；</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（4）属于同一集团、协会、商会等组织成员的投标人按照该组织要求协同参加政府采购活动；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（5）投标人之间事先约定由某一特定投标人中标、成交；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（6）投标人之间商定部分投标人放弃参加政府采购活动或者放弃中标、成交；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（7）投标人与采购人或者采购代理机构之间、投标人相互之间，为谋求特定投标人中标、成交或者排斥其他投标人的其他串通行为。</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经查实有上述4</w:t>
      </w:r>
      <w:r>
        <w:rPr>
          <w:rFonts w:asciiTheme="minorEastAsia" w:hAnsiTheme="minorEastAsia" w:eastAsiaTheme="minorEastAsia"/>
          <w:color w:val="auto"/>
        </w:rPr>
        <w:t>.4.1</w:t>
      </w:r>
      <w:r>
        <w:rPr>
          <w:rFonts w:hint="eastAsia" w:asciiTheme="minorEastAsia" w:hAnsiTheme="minorEastAsia" w:eastAsiaTheme="minorEastAsia"/>
          <w:color w:val="auto"/>
        </w:rPr>
        <w:t>和4</w:t>
      </w:r>
      <w:r>
        <w:rPr>
          <w:rFonts w:asciiTheme="minorEastAsia" w:hAnsiTheme="minorEastAsia" w:eastAsiaTheme="minorEastAsia"/>
          <w:color w:val="auto"/>
        </w:rPr>
        <w:t>.4.2</w:t>
      </w:r>
      <w:r>
        <w:rPr>
          <w:rFonts w:hint="eastAsia" w:asciiTheme="minorEastAsia" w:hAnsiTheme="minorEastAsia" w:eastAsiaTheme="minorEastAsia"/>
          <w:color w:val="auto"/>
        </w:rPr>
        <w:t>行为的，采购人或采购代理机构将依法向政府采购监管部门报告，由监管部门依法处理。</w:t>
      </w:r>
    </w:p>
    <w:bookmarkEnd w:id="135"/>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5</w:t>
      </w:r>
      <w:r>
        <w:rPr>
          <w:rFonts w:hint="eastAsia" w:cs="宋体" w:asciiTheme="minorEastAsia" w:hAnsiTheme="minorEastAsia" w:eastAsiaTheme="minorEastAsia"/>
          <w:b/>
          <w:color w:val="auto"/>
          <w:szCs w:val="21"/>
        </w:rPr>
        <w:t>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根据《中华人民共和国政府采购法》第三十六条之规定，在采购中，出现下列情况之一的，应予以废标：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（1）符合专业条件的投标人或者对招标文件作实质响应的投标人不足3家的；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（2）出现影响采购公正的违法、违规行为的；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（3）投标人的报价均超过了采购预算，采购人不能支付的；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（4）因重大变故，采购任务取消的。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废标后，采购代理机构应当将废标理由通知所有投标人。</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6</w:t>
      </w:r>
      <w:r>
        <w:rPr>
          <w:rFonts w:hint="eastAsia" w:cs="宋体" w:asciiTheme="minorEastAsia" w:hAnsiTheme="minorEastAsia" w:eastAsiaTheme="minorEastAsia"/>
          <w:b/>
          <w:color w:val="auto"/>
          <w:szCs w:val="21"/>
        </w:rPr>
        <w:t>核心产品</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4</w:t>
      </w:r>
      <w:r>
        <w:rPr>
          <w:rFonts w:cs="宋体" w:asciiTheme="minorEastAsia" w:hAnsiTheme="minorEastAsia" w:eastAsiaTheme="minorEastAsia"/>
          <w:bCs/>
          <w:color w:val="auto"/>
          <w:szCs w:val="21"/>
        </w:rPr>
        <w:t>.6.1</w:t>
      </w:r>
      <w:r>
        <w:rPr>
          <w:rFonts w:hint="eastAsia" w:cs="宋体" w:asciiTheme="minorEastAsia" w:hAnsiTheme="minorEastAsia" w:eastAsiaTheme="minorEastAsia"/>
          <w:bCs/>
          <w:color w:val="auto"/>
          <w:szCs w:val="21"/>
        </w:rPr>
        <w:t>若采购项目为单一产品，提供相同品牌产品且通过资格审查、符合性审查的不同投标人参加同一合同项下投标的，按一家投标人计算，经综合评标后得分最高的同品牌投标人获得中标人推荐资格；评标得分相同的，则技术得分最高的投标人获得中标人推荐资格，其他同品牌投标人不作为中标候选人；若技术得分相同的，则采取随机抽取方式确定，其他同品牌投标人不作为中标候选人。</w:t>
      </w:r>
    </w:p>
    <w:p>
      <w:pPr>
        <w:pStyle w:val="2"/>
        <w:spacing w:after="0" w:line="360" w:lineRule="auto"/>
        <w:ind w:firstLineChars="20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4.6.2</w:t>
      </w:r>
      <w:r>
        <w:rPr>
          <w:rFonts w:hint="eastAsia" w:cs="宋体" w:asciiTheme="minorEastAsia" w:hAnsiTheme="minorEastAsia" w:eastAsiaTheme="minorEastAsia"/>
          <w:color w:val="auto"/>
          <w:kern w:val="0"/>
          <w:szCs w:val="21"/>
        </w:rPr>
        <w:t>若采购项目为非单一产品采购项目，采购人应当根据采购项目技术构成、产品价格比重等合理确定核心产品，并在招标文件中载明。多家投标人提供的核心产品品牌相同的，提供相同品牌产品且通过资格审查、符合性审查的不同投标人参加同一合同项下投标的，按一家投标人计算，经综合评标后得分最高的同品牌投标人获得中标人推荐资格；评标得分相同的，则技术得分最高的投标人获得中标人推荐资格，其他同品牌投标人不作为中标候选人；若技术得分相同的，则采取随机抽取方式确定，其他同品牌投标人不作为中标候选人。</w:t>
      </w:r>
    </w:p>
    <w:p>
      <w:pPr>
        <w:pStyle w:val="5"/>
        <w:rPr>
          <w:rFonts w:cs="宋体" w:asciiTheme="minorEastAsia" w:hAnsiTheme="minorEastAsia" w:eastAsiaTheme="minorEastAsia"/>
          <w:color w:val="auto"/>
          <w:szCs w:val="21"/>
        </w:rPr>
      </w:pPr>
      <w:bookmarkStart w:id="136" w:name="_Toc16390"/>
      <w:r>
        <w:rPr>
          <w:rFonts w:hint="eastAsia" w:cs="宋体" w:asciiTheme="minorEastAsia" w:hAnsiTheme="minorEastAsia" w:eastAsiaTheme="minorEastAsia"/>
          <w:color w:val="auto"/>
          <w:szCs w:val="21"/>
        </w:rPr>
        <w:t>5评分细则</w:t>
      </w:r>
      <w:bookmarkEnd w:id="136"/>
    </w:p>
    <w:p>
      <w:pPr>
        <w:ind w:firstLine="415" w:firstLineChars="198"/>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本次评标采用综合评分法，评标委员会</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投标人的报价、综合实力、技术（服务）、信誉、业绩和售后服务等方面进行审核评价。评标委员会根据评标细则，对各投标人的报价进行统一打分，对各投标人的资信、商务及技术（服务）由评标委员会成员在分值范围内进行独立打分。所有分值均在小数点后保留2位小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每个投标人最终得分=投标报价分+资信分+技术分</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评标委员会推荐得分最高的投标人为第一中标候选人、得分次高的投标人为第二中标候选人。如果得分相同，则按投标人报价从低到高顺序推荐为中标候选人，如果投标报价也相同，则按投标人技术得分从高到低顺序推荐中标候选人，如果报价和技术得分都相同则</w:t>
      </w:r>
      <w:r>
        <w:rPr>
          <w:rFonts w:hint="eastAsia" w:cs="宋体" w:asciiTheme="minorEastAsia" w:hAnsiTheme="minorEastAsia" w:eastAsiaTheme="minorEastAsia"/>
          <w:color w:val="auto"/>
          <w:kern w:val="0"/>
          <w:szCs w:val="21"/>
        </w:rPr>
        <w:t>采取随机抽取方式确定</w:t>
      </w:r>
      <w:r>
        <w:rPr>
          <w:rFonts w:hint="eastAsia" w:asciiTheme="minorEastAsia" w:hAnsiTheme="minorEastAsia" w:eastAsiaTheme="minorEastAsia"/>
          <w:color w:val="auto"/>
        </w:rPr>
        <w:t>。</w:t>
      </w:r>
    </w:p>
    <w:p>
      <w:pPr>
        <w:pStyle w:val="6"/>
        <w:rPr>
          <w:color w:val="auto"/>
        </w:rPr>
      </w:pPr>
      <w:r>
        <w:rPr>
          <w:rFonts w:hint="eastAsia"/>
          <w:color w:val="auto"/>
        </w:rPr>
        <w:t>5.1投标报价分0-30分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投标报价评分将在有效投标人范围内进行，小数点后保留2位小数。满足招标文件要求且投标价格最低的投标报价为评标基准价，其投标报价分为满分30分。其他投标人的报价分按照下列公式计算：</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投标报价分=(评标基准价／投标报价)×30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项目根据《政府采购促进中小企业发展暂行办法》（财库【2011】181号）规定，对符合条件的投标人的报价给予6%的扣除，用扣除后的报价计算报价分。残疾人福利企业、监狱企业视同小微企业。享受政府采购小微企业（残疾人福利企业、监狱企业）政策优惠的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投标报价得分=(评标基准价／(投标报价*94%))×30。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此项由评标委员会集体核实后统一打分。</w:t>
      </w:r>
    </w:p>
    <w:p>
      <w:pPr>
        <w:pStyle w:val="6"/>
        <w:rPr>
          <w:color w:val="auto"/>
        </w:rPr>
      </w:pPr>
      <w:r>
        <w:rPr>
          <w:rFonts w:hint="eastAsia"/>
          <w:color w:val="auto"/>
        </w:rPr>
        <w:t>5.2资信评分0-</w:t>
      </w:r>
      <w:r>
        <w:rPr>
          <w:rFonts w:hint="eastAsia"/>
          <w:color w:val="auto"/>
          <w:lang w:val="en-US" w:eastAsia="zh-CN"/>
        </w:rPr>
        <w:t>6</w:t>
      </w:r>
      <w:r>
        <w:rPr>
          <w:rFonts w:hint="eastAsia"/>
          <w:color w:val="auto"/>
        </w:rPr>
        <w:t>分</w:t>
      </w:r>
    </w:p>
    <w:p>
      <w:pPr>
        <w:ind w:firstLine="420"/>
        <w:rPr>
          <w:rFonts w:hint="eastAsia" w:ascii="宋体" w:hAnsi="宋体" w:eastAsia="宋体" w:cs="宋体"/>
          <w:color w:val="auto"/>
          <w:sz w:val="21"/>
          <w:szCs w:val="21"/>
        </w:rPr>
      </w:pPr>
      <w:bookmarkStart w:id="137" w:name="_Hlk8686002"/>
      <w:r>
        <w:rPr>
          <w:rFonts w:hint="eastAsia" w:ascii="宋体" w:hAnsi="宋体" w:eastAsia="宋体" w:cs="宋体"/>
          <w:b/>
          <w:bCs/>
          <w:color w:val="auto"/>
          <w:sz w:val="21"/>
          <w:szCs w:val="21"/>
          <w:lang w:eastAsia="zh-CN"/>
        </w:rPr>
        <w:t>标项</w:t>
      </w:r>
      <w:r>
        <w:rPr>
          <w:rFonts w:hint="eastAsia" w:ascii="宋体" w:hAnsi="宋体" w:eastAsia="宋体" w:cs="宋体"/>
          <w:b/>
          <w:bCs/>
          <w:color w:val="auto"/>
          <w:sz w:val="21"/>
          <w:szCs w:val="21"/>
          <w:lang w:val="en-US" w:eastAsia="zh-CN"/>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投标人自2016年</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月以来承接过各级国家机关、事业单位或团体组织尿沉渣流水线同类项目业绩，每个得1分，最高</w:t>
      </w:r>
      <w:r>
        <w:rPr>
          <w:rFonts w:hint="eastAsia" w:ascii="宋体" w:hAnsi="宋体" w:eastAsia="宋体" w:cs="宋体"/>
          <w:color w:val="auto"/>
          <w:sz w:val="21"/>
          <w:szCs w:val="21"/>
          <w:lang w:eastAsia="zh-CN"/>
        </w:rPr>
        <w:t>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cs="宋体"/>
          <w:color w:val="auto"/>
          <w:sz w:val="21"/>
          <w:szCs w:val="21"/>
          <w:lang w:eastAsia="zh-CN"/>
        </w:rPr>
        <w:t>；</w:t>
      </w:r>
      <w:r>
        <w:rPr>
          <w:rFonts w:hint="eastAsia" w:ascii="宋体" w:hAnsi="宋体" w:eastAsia="宋体" w:cs="宋体"/>
          <w:color w:val="auto"/>
          <w:sz w:val="21"/>
          <w:szCs w:val="21"/>
        </w:rPr>
        <w:t>五分类血球计数仪同类项目业绩，每个得1分，最高</w:t>
      </w:r>
      <w:r>
        <w:rPr>
          <w:rFonts w:hint="eastAsia" w:ascii="宋体" w:hAnsi="宋体" w:eastAsia="宋体" w:cs="宋体"/>
          <w:color w:val="auto"/>
          <w:sz w:val="21"/>
          <w:szCs w:val="21"/>
          <w:lang w:eastAsia="zh-CN"/>
        </w:rPr>
        <w:t>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分。业绩必须提供相应的证明文件（合同复印件），时间以合同签订时间为准。原则上以投标文件中的复印件为准，若复印件不明确，评标委员将以核查的原件为准，开标时请携带原件备查。</w:t>
      </w:r>
    </w:p>
    <w:p>
      <w:pPr>
        <w:ind w:firstLine="420"/>
        <w:rPr>
          <w:rFonts w:hint="eastAsia" w:ascii="宋体" w:hAnsi="宋体" w:eastAsia="宋体" w:cs="宋体"/>
          <w:color w:val="auto"/>
          <w:sz w:val="21"/>
          <w:szCs w:val="21"/>
        </w:rPr>
      </w:pPr>
      <w:r>
        <w:rPr>
          <w:rFonts w:hint="eastAsia" w:ascii="宋体" w:hAnsi="宋体" w:eastAsia="宋体" w:cs="宋体"/>
          <w:color w:val="auto"/>
          <w:sz w:val="21"/>
          <w:szCs w:val="21"/>
        </w:rPr>
        <w:t>此项由评标委员会集体核实后统一打分。</w:t>
      </w:r>
    </w:p>
    <w:p>
      <w:pPr>
        <w:ind w:firstLine="420"/>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标项</w:t>
      </w:r>
      <w:r>
        <w:rPr>
          <w:rFonts w:hint="eastAsia" w:ascii="宋体" w:hAnsi="宋体" w:eastAsia="宋体" w:cs="宋体"/>
          <w:b/>
          <w:bCs/>
          <w:color w:val="auto"/>
          <w:sz w:val="21"/>
          <w:szCs w:val="21"/>
          <w:lang w:val="en-US" w:eastAsia="zh-CN"/>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投标人自2016年</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月以来承接过各级国家机关、事业单位或团体组织儿童椭圆型滑轨悬吊康复单元同类项目业绩，每个得1分，最高</w:t>
      </w:r>
      <w:r>
        <w:rPr>
          <w:rFonts w:hint="eastAsia" w:ascii="宋体" w:hAnsi="宋体" w:eastAsia="宋体" w:cs="宋体"/>
          <w:color w:val="auto"/>
          <w:sz w:val="21"/>
          <w:szCs w:val="21"/>
          <w:lang w:eastAsia="zh-CN"/>
        </w:rPr>
        <w:t>得</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分。业绩必须提供相应的证明文件（合同复印件），时间以合同签订时间为准。原则上以投标文件中的复印件为准，若复印件不明确，评标委员将以核查的原件为准，开标时请携带原件备查。</w:t>
      </w:r>
    </w:p>
    <w:p>
      <w:pPr>
        <w:ind w:firstLine="420"/>
        <w:rPr>
          <w:rFonts w:hint="eastAsia" w:ascii="宋体" w:hAnsi="宋体" w:eastAsia="宋体" w:cs="宋体"/>
          <w:color w:val="auto"/>
          <w:sz w:val="21"/>
          <w:szCs w:val="21"/>
        </w:rPr>
      </w:pPr>
      <w:r>
        <w:rPr>
          <w:rFonts w:hint="eastAsia" w:ascii="宋体" w:hAnsi="宋体" w:eastAsia="宋体" w:cs="宋体"/>
          <w:color w:val="auto"/>
          <w:sz w:val="21"/>
          <w:szCs w:val="21"/>
        </w:rPr>
        <w:t>此项由评标委员会集体核实后统一打分。</w:t>
      </w:r>
    </w:p>
    <w:bookmarkEnd w:id="137"/>
    <w:p>
      <w:pPr>
        <w:pStyle w:val="6"/>
        <w:rPr>
          <w:color w:val="auto"/>
        </w:rPr>
      </w:pPr>
      <w:r>
        <w:rPr>
          <w:rFonts w:hint="eastAsia"/>
          <w:color w:val="auto"/>
        </w:rPr>
        <w:t>5.3技术评分</w:t>
      </w:r>
      <w:r>
        <w:rPr>
          <w:rFonts w:hint="eastAsia"/>
          <w:color w:val="auto"/>
          <w:lang w:val="en-US" w:eastAsia="zh-CN"/>
        </w:rPr>
        <w:t>4</w:t>
      </w:r>
      <w:r>
        <w:rPr>
          <w:rFonts w:hint="eastAsia"/>
          <w:color w:val="auto"/>
        </w:rPr>
        <w:t>-6</w:t>
      </w:r>
      <w:r>
        <w:rPr>
          <w:rFonts w:hint="eastAsia"/>
          <w:color w:val="auto"/>
          <w:lang w:val="en-US" w:eastAsia="zh-CN"/>
        </w:rPr>
        <w:t>4</w:t>
      </w:r>
      <w:r>
        <w:rPr>
          <w:rFonts w:hint="eastAsia"/>
          <w:color w:val="auto"/>
        </w:rPr>
        <w:t>分</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该评分分值由评标委员会根据评标情况在分值范围内独立打分（具体分值设定详见下表），小数点后保留2位小数。每个投标人的最终技术得分为每位评标委员会成员打分的算术平均值。</w:t>
      </w:r>
    </w:p>
    <w:tbl>
      <w:tblPr>
        <w:tblStyle w:val="26"/>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66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blHeader/>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序号</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评分项目</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1"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所投产品配置</w:t>
            </w:r>
            <w:r>
              <w:rPr>
                <w:rFonts w:hint="eastAsia" w:cs="宋体" w:asciiTheme="minorEastAsia" w:hAnsiTheme="minorEastAsia" w:eastAsiaTheme="minorEastAsia"/>
                <w:color w:val="auto"/>
                <w:szCs w:val="21"/>
                <w:lang w:eastAsia="zh-CN"/>
              </w:rPr>
              <w:t>和性能</w:t>
            </w:r>
            <w:r>
              <w:rPr>
                <w:rFonts w:hint="eastAsia" w:cs="宋体" w:asciiTheme="minorEastAsia" w:hAnsiTheme="minorEastAsia" w:eastAsiaTheme="minorEastAsia"/>
                <w:color w:val="auto"/>
                <w:szCs w:val="21"/>
              </w:rPr>
              <w:t>总体满足需求的情况：</w:t>
            </w:r>
          </w:p>
          <w:p>
            <w:pPr>
              <w:pStyle w:val="2"/>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完全满足采购需求：7-8分；</w:t>
            </w:r>
          </w:p>
          <w:p>
            <w:pPr>
              <w:pStyle w:val="2"/>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基本满足采购需求：5-</w:t>
            </w:r>
            <w:r>
              <w:rPr>
                <w:rFonts w:hint="eastAsia" w:cs="宋体" w:asciiTheme="minorEastAsia" w:hAnsiTheme="minorEastAsia" w:eastAsiaTheme="minorEastAsia"/>
                <w:color w:val="auto"/>
                <w:szCs w:val="21"/>
                <w:lang w:val="en-US" w:eastAsia="zh-CN"/>
              </w:rPr>
              <w:t>6</w:t>
            </w:r>
            <w:r>
              <w:rPr>
                <w:rFonts w:hint="eastAsia" w:cs="宋体" w:asciiTheme="minorEastAsia" w:hAnsiTheme="minorEastAsia" w:eastAsiaTheme="minorEastAsia"/>
                <w:color w:val="auto"/>
                <w:szCs w:val="21"/>
              </w:rPr>
              <w:t>分；</w:t>
            </w:r>
          </w:p>
          <w:p>
            <w:pPr>
              <w:pStyle w:val="2"/>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部分满足采购需求：</w:t>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-4分。</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p>
        </w:tc>
        <w:tc>
          <w:tcPr>
            <w:tcW w:w="6663" w:type="dxa"/>
            <w:vAlign w:val="center"/>
          </w:tcPr>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重要技术功能偏离：对应于招标文件中</w:t>
            </w:r>
            <w:r>
              <w:rPr>
                <w:rFonts w:hint="eastAsia" w:cs="宋体" w:asciiTheme="minorEastAsia" w:hAnsiTheme="minorEastAsia" w:eastAsiaTheme="minorEastAsia"/>
                <w:color w:val="auto"/>
                <w:szCs w:val="21"/>
              </w:rPr>
              <w:t>各仪器设备的具体要求</w:t>
            </w:r>
            <w:r>
              <w:rPr>
                <w:rFonts w:hint="eastAsia" w:cs="宋体" w:asciiTheme="minorEastAsia" w:hAnsiTheme="minorEastAsia" w:eastAsiaTheme="minorEastAsia"/>
                <w:color w:val="auto"/>
                <w:kern w:val="0"/>
                <w:szCs w:val="21"/>
              </w:rPr>
              <w:t>中</w:t>
            </w:r>
            <w:r>
              <w:rPr>
                <w:rFonts w:hint="eastAsia" w:cs="宋体" w:asciiTheme="minorEastAsia" w:hAnsiTheme="minorEastAsia" w:eastAsiaTheme="minorEastAsia"/>
                <w:color w:val="auto"/>
                <w:szCs w:val="21"/>
              </w:rPr>
              <w:t>打▲号</w:t>
            </w:r>
            <w:r>
              <w:rPr>
                <w:rFonts w:hint="eastAsia" w:cs="宋体" w:asciiTheme="minorEastAsia" w:hAnsiTheme="minorEastAsia" w:eastAsiaTheme="minorEastAsia"/>
                <w:color w:val="auto"/>
                <w:kern w:val="0"/>
                <w:szCs w:val="21"/>
              </w:rPr>
              <w:t>的偏离度，每一项</w:t>
            </w:r>
            <w:r>
              <w:rPr>
                <w:rFonts w:hint="eastAsia" w:cs="宋体" w:asciiTheme="minorEastAsia" w:hAnsiTheme="minorEastAsia" w:eastAsiaTheme="minorEastAsia"/>
                <w:color w:val="auto"/>
                <w:kern w:val="0"/>
                <w:szCs w:val="21"/>
                <w:lang w:eastAsia="zh-CN"/>
              </w:rPr>
              <w:t>负</w:t>
            </w:r>
            <w:r>
              <w:rPr>
                <w:rFonts w:hint="eastAsia" w:cs="宋体" w:asciiTheme="minorEastAsia" w:hAnsiTheme="minorEastAsia" w:eastAsiaTheme="minorEastAsia"/>
                <w:color w:val="auto"/>
                <w:kern w:val="0"/>
                <w:szCs w:val="21"/>
              </w:rPr>
              <w:t>偏离扣</w:t>
            </w:r>
            <w:r>
              <w:rPr>
                <w:rFonts w:hint="eastAsia" w:cs="宋体" w:asciiTheme="minorEastAsia" w:hAnsiTheme="minorEastAsia" w:eastAsiaTheme="minorEastAsia"/>
                <w:color w:val="auto"/>
                <w:kern w:val="0"/>
                <w:szCs w:val="21"/>
                <w:lang w:val="en-US" w:eastAsia="zh-CN"/>
              </w:rPr>
              <w:t>3</w:t>
            </w:r>
            <w:r>
              <w:rPr>
                <w:rFonts w:hint="eastAsia" w:cs="宋体" w:asciiTheme="minorEastAsia" w:hAnsiTheme="minorEastAsia" w:eastAsiaTheme="minorEastAsia"/>
                <w:color w:val="auto"/>
                <w:kern w:val="0"/>
                <w:szCs w:val="21"/>
              </w:rPr>
              <w:t>分，扣完为止。</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0-1</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w:t>
            </w:r>
          </w:p>
        </w:tc>
        <w:tc>
          <w:tcPr>
            <w:tcW w:w="6663" w:type="dxa"/>
            <w:vAlign w:val="center"/>
          </w:tcPr>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其它技术功能</w:t>
            </w:r>
            <w:r>
              <w:rPr>
                <w:rFonts w:hint="eastAsia" w:cs="宋体" w:asciiTheme="minorEastAsia" w:hAnsiTheme="minorEastAsia" w:eastAsiaTheme="minorEastAsia"/>
                <w:color w:val="auto"/>
                <w:kern w:val="0"/>
                <w:szCs w:val="21"/>
                <w:lang w:eastAsia="zh-CN"/>
              </w:rPr>
              <w:t>商务</w:t>
            </w:r>
            <w:r>
              <w:rPr>
                <w:rFonts w:hint="eastAsia" w:cs="宋体" w:asciiTheme="minorEastAsia" w:hAnsiTheme="minorEastAsia" w:eastAsiaTheme="minorEastAsia"/>
                <w:color w:val="auto"/>
                <w:kern w:val="0"/>
                <w:szCs w:val="21"/>
              </w:rPr>
              <w:t>偏离：对应于招标文件中</w:t>
            </w:r>
            <w:r>
              <w:rPr>
                <w:rFonts w:hint="eastAsia" w:cs="宋体" w:asciiTheme="minorEastAsia" w:hAnsiTheme="minorEastAsia" w:eastAsiaTheme="minorEastAsia"/>
                <w:color w:val="auto"/>
                <w:szCs w:val="21"/>
              </w:rPr>
              <w:t>各仪器设备的具体要求（除去打▲号的）</w:t>
            </w:r>
            <w:r>
              <w:rPr>
                <w:rFonts w:hint="eastAsia" w:cs="宋体" w:asciiTheme="minorEastAsia" w:hAnsiTheme="minorEastAsia" w:eastAsiaTheme="minorEastAsia"/>
                <w:color w:val="auto"/>
                <w:kern w:val="0"/>
                <w:szCs w:val="21"/>
              </w:rPr>
              <w:t>的偏离度，每一项</w:t>
            </w:r>
            <w:r>
              <w:rPr>
                <w:rFonts w:hint="eastAsia" w:cs="宋体" w:asciiTheme="minorEastAsia" w:hAnsiTheme="minorEastAsia" w:eastAsiaTheme="minorEastAsia"/>
                <w:color w:val="auto"/>
                <w:kern w:val="0"/>
                <w:szCs w:val="21"/>
                <w:lang w:eastAsia="zh-CN"/>
              </w:rPr>
              <w:t>负</w:t>
            </w:r>
            <w:r>
              <w:rPr>
                <w:rFonts w:hint="eastAsia" w:cs="宋体" w:asciiTheme="minorEastAsia" w:hAnsiTheme="minorEastAsia" w:eastAsiaTheme="minorEastAsia"/>
                <w:color w:val="auto"/>
                <w:kern w:val="0"/>
                <w:szCs w:val="21"/>
              </w:rPr>
              <w:t>偏离扣1分，扣完为止。</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0-1</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4" w:hRule="atLeas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4</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投入本项目的安装调试人员的</w:t>
            </w:r>
            <w:r>
              <w:rPr>
                <w:rFonts w:hint="eastAsia" w:ascii="宋体" w:hAnsi="宋体" w:eastAsia="宋体" w:cs="宋体"/>
                <w:color w:val="auto"/>
                <w:kern w:val="0"/>
                <w:sz w:val="21"/>
                <w:szCs w:val="21"/>
                <w:highlight w:val="none"/>
              </w:rPr>
              <w:t>人数、相关专业经验、学历、相应职称证书等满足采购要求情况综合评价（需提供职称证以及近期不少于3个月的社保证明）。</w:t>
            </w:r>
          </w:p>
          <w:p>
            <w:pPr>
              <w:pStyle w:val="2"/>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学历</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pStyle w:val="2"/>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职称</w:t>
            </w:r>
            <w:r>
              <w:rPr>
                <w:rFonts w:hint="eastAsia" w:ascii="宋体" w:hAnsi="宋体" w:eastAsia="宋体" w:cs="宋体"/>
                <w:color w:val="auto"/>
                <w:sz w:val="21"/>
                <w:szCs w:val="21"/>
                <w:highlight w:val="none"/>
                <w:lang w:val="en-US" w:eastAsia="zh-CN"/>
              </w:rPr>
              <w:t>:0-2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rPr>
            </w:pPr>
            <w:r>
              <w:rPr>
                <w:rFonts w:hint="eastAsia" w:ascii="宋体" w:hAnsi="宋体" w:eastAsia="宋体" w:cs="宋体"/>
                <w:color w:val="auto"/>
                <w:kern w:val="0"/>
                <w:sz w:val="21"/>
                <w:szCs w:val="21"/>
                <w:highlight w:val="none"/>
                <w:lang w:val="en-US" w:eastAsia="zh-CN"/>
              </w:rPr>
              <w:t>人员结构:</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ascii="宋体" w:hAnsi="宋体" w:eastAsia="宋体" w:cs="宋体"/>
                <w:color w:val="auto"/>
                <w:sz w:val="21"/>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5" w:hRule="atLeas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5</w:t>
            </w:r>
          </w:p>
        </w:tc>
        <w:tc>
          <w:tcPr>
            <w:tcW w:w="6663" w:type="dxa"/>
            <w:vAlign w:val="center"/>
          </w:tcPr>
          <w:p>
            <w:pPr>
              <w:pStyle w:val="58"/>
              <w:keepNext w:val="0"/>
              <w:keepLines w:val="0"/>
              <w:pageBreakBefore w:val="0"/>
              <w:widowControl w:val="0"/>
              <w:kinsoku/>
              <w:wordWrap/>
              <w:overflowPunct/>
              <w:topLinePunct w:val="0"/>
              <w:autoSpaceDE/>
              <w:autoSpaceDN/>
              <w:bidi w:val="0"/>
              <w:spacing w:line="360" w:lineRule="auto"/>
              <w:textAlignment w:val="auto"/>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 xml:space="preserve">根据投标人提供的售后服务方案、售后服务承诺、服务响应时间的可行性、完整性以及服务承诺落实的保障措施等方面综合评价： </w:t>
            </w:r>
          </w:p>
          <w:p>
            <w:pPr>
              <w:pStyle w:val="58"/>
              <w:keepNext w:val="0"/>
              <w:keepLines w:val="0"/>
              <w:pageBreakBefore w:val="0"/>
              <w:widowControl w:val="0"/>
              <w:kinsoku/>
              <w:wordWrap/>
              <w:overflowPunct/>
              <w:topLinePunct w:val="0"/>
              <w:autoSpaceDE/>
              <w:autoSpaceDN/>
              <w:bidi w:val="0"/>
              <w:spacing w:line="360" w:lineRule="auto"/>
              <w:textAlignment w:val="auto"/>
              <w:rPr>
                <w:rFonts w:hint="eastAsia"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售后方案全面完整，响应及时，可行性强得5-6分；</w:t>
            </w:r>
          </w:p>
          <w:p>
            <w:pPr>
              <w:pStyle w:val="58"/>
              <w:keepNext w:val="0"/>
              <w:keepLines w:val="0"/>
              <w:pageBreakBefore w:val="0"/>
              <w:widowControl w:val="0"/>
              <w:kinsoku/>
              <w:wordWrap/>
              <w:overflowPunct/>
              <w:topLinePunct w:val="0"/>
              <w:autoSpaceDE/>
              <w:autoSpaceDN/>
              <w:bidi w:val="0"/>
              <w:spacing w:line="360" w:lineRule="auto"/>
              <w:textAlignment w:val="auto"/>
              <w:rPr>
                <w:rFonts w:hint="eastAsia"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售后方案基本涵盖，响应时间一般，基本可行得3-4分；</w:t>
            </w:r>
          </w:p>
          <w:p>
            <w:pPr>
              <w:pStyle w:val="2"/>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rPr>
              <w:t>售后方案简单略，响应不够及时，可行性差得1-2分。</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6</w:t>
            </w:r>
          </w:p>
        </w:tc>
        <w:tc>
          <w:tcPr>
            <w:tcW w:w="6663" w:type="dxa"/>
            <w:vAlign w:val="center"/>
          </w:tcPr>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耗材优惠措施：每优惠（下浮）10%得1分，最高3分。</w:t>
            </w:r>
          </w:p>
        </w:tc>
        <w:tc>
          <w:tcPr>
            <w:tcW w:w="1134" w:type="dxa"/>
            <w:vAlign w:val="center"/>
          </w:tcPr>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7</w:t>
            </w:r>
          </w:p>
        </w:tc>
        <w:tc>
          <w:tcPr>
            <w:tcW w:w="6663" w:type="dxa"/>
            <w:vAlign w:val="center"/>
          </w:tcPr>
          <w:p>
            <w:pPr>
              <w:keepNext w:val="0"/>
              <w:keepLines w:val="0"/>
              <w:pageBreakBefore w:val="0"/>
              <w:widowControl w:val="0"/>
              <w:kinsoku/>
              <w:wordWrap/>
              <w:overflowPunct/>
              <w:topLinePunct w:val="0"/>
              <w:autoSpaceDE/>
              <w:autoSpaceDN/>
              <w:bidi w:val="0"/>
              <w:spacing w:line="360" w:lineRule="auto"/>
              <w:ind w:left="0" w:leftChars="0" w:firstLine="0" w:firstLineChars="0"/>
              <w:contextualSpacing/>
              <w:textAlignment w:val="auto"/>
              <w:rPr>
                <w:rFonts w:hint="eastAsia" w:cs="宋体" w:asciiTheme="minorEastAsia" w:hAnsiTheme="minorEastAsia" w:eastAsiaTheme="minorEastAsia"/>
                <w:color w:val="auto"/>
                <w:szCs w:val="21"/>
              </w:rPr>
            </w:pPr>
            <w:r>
              <w:rPr>
                <w:rFonts w:hint="eastAsia" w:ascii="宋体" w:hAnsi="宋体" w:eastAsia="宋体" w:cs="宋体"/>
                <w:color w:val="auto"/>
                <w:szCs w:val="21"/>
                <w:lang w:eastAsia="zh-CN"/>
              </w:rPr>
              <w:t>备品备件提供情况综合评价。</w:t>
            </w:r>
          </w:p>
        </w:tc>
        <w:tc>
          <w:tcPr>
            <w:tcW w:w="1134" w:type="dxa"/>
            <w:vAlign w:val="center"/>
          </w:tcPr>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hint="eastAsia" w:cs="宋体" w:asciiTheme="minorEastAsia" w:hAnsiTheme="minorEastAsia" w:eastAsiaTheme="minorEastAsia"/>
                <w:color w:val="auto"/>
                <w:szCs w:val="21"/>
              </w:rPr>
            </w:pPr>
            <w:r>
              <w:rPr>
                <w:rFonts w:hint="eastAsia" w:ascii="宋体" w:hAnsi="宋体" w:eastAsia="宋体" w:cs="宋体"/>
                <w:color w:val="auto"/>
                <w:szCs w:val="21"/>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8</w:t>
            </w:r>
          </w:p>
        </w:tc>
        <w:tc>
          <w:tcPr>
            <w:tcW w:w="6663" w:type="dxa"/>
            <w:vAlign w:val="center"/>
          </w:tcPr>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质保期：</w:t>
            </w:r>
            <w:r>
              <w:rPr>
                <w:rFonts w:hint="eastAsia" w:cs="宋体" w:asciiTheme="minorEastAsia" w:hAnsiTheme="minorEastAsia" w:eastAsiaTheme="minorEastAsia"/>
                <w:color w:val="auto"/>
                <w:szCs w:val="21"/>
                <w:lang w:eastAsia="zh-CN"/>
              </w:rPr>
              <w:t>所有设备</w:t>
            </w:r>
            <w:r>
              <w:rPr>
                <w:rFonts w:hint="eastAsia" w:cs="宋体" w:asciiTheme="minorEastAsia" w:hAnsiTheme="minorEastAsia" w:eastAsiaTheme="minorEastAsia"/>
                <w:color w:val="auto"/>
                <w:szCs w:val="21"/>
              </w:rPr>
              <w:t>每延长</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年得</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分，最多得</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分。</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9" w:hRule="atLeas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9</w:t>
            </w:r>
          </w:p>
        </w:tc>
        <w:tc>
          <w:tcPr>
            <w:tcW w:w="6663" w:type="dxa"/>
            <w:vAlign w:val="center"/>
          </w:tcPr>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技术培训：是否为采购人免费进行技术培训的服务，包括培训内容、培训人数、培训时间、培训地点</w:t>
            </w:r>
            <w:r>
              <w:rPr>
                <w:rFonts w:hint="eastAsia" w:cs="宋体" w:asciiTheme="minorEastAsia" w:hAnsiTheme="minorEastAsia" w:eastAsiaTheme="minorEastAsia"/>
                <w:color w:val="auto"/>
                <w:kern w:val="0"/>
                <w:szCs w:val="21"/>
              </w:rPr>
              <w:t>综合评价</w:t>
            </w:r>
            <w:r>
              <w:rPr>
                <w:rFonts w:hint="eastAsia" w:cs="宋体" w:asciiTheme="minorEastAsia" w:hAnsiTheme="minorEastAsia" w:eastAsiaTheme="minorEastAsia"/>
                <w:color w:val="auto"/>
                <w:szCs w:val="21"/>
              </w:rPr>
              <w:t>：</w:t>
            </w:r>
          </w:p>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培训内容：0-</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分；</w:t>
            </w:r>
          </w:p>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培训次数：0-</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分；</w:t>
            </w:r>
          </w:p>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培训规模：0-1分。</w:t>
            </w:r>
          </w:p>
        </w:tc>
        <w:tc>
          <w:tcPr>
            <w:tcW w:w="1134" w:type="dxa"/>
            <w:vAlign w:val="center"/>
          </w:tcPr>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lang w:val="en-US" w:eastAsia="zh-CN"/>
              </w:rPr>
              <w:t>0</w:t>
            </w:r>
          </w:p>
        </w:tc>
        <w:tc>
          <w:tcPr>
            <w:tcW w:w="6663" w:type="dxa"/>
            <w:vAlign w:val="center"/>
          </w:tcPr>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pacing w:val="8"/>
                <w:szCs w:val="21"/>
                <w:shd w:val="clear" w:color="auto" w:fill="FFFFFF"/>
              </w:rPr>
            </w:pPr>
            <w:r>
              <w:rPr>
                <w:rFonts w:hint="eastAsia" w:cs="宋体" w:asciiTheme="minorEastAsia" w:hAnsiTheme="minorEastAsia" w:eastAsiaTheme="minorEastAsia"/>
                <w:color w:val="auto"/>
                <w:spacing w:val="8"/>
                <w:szCs w:val="21"/>
              </w:rPr>
              <w:t>环境标志产品、</w:t>
            </w:r>
            <w:r>
              <w:rPr>
                <w:rFonts w:hint="eastAsia" w:cs="宋体" w:asciiTheme="minorEastAsia" w:hAnsiTheme="minorEastAsia" w:eastAsiaTheme="minorEastAsia"/>
                <w:color w:val="auto"/>
                <w:spacing w:val="8"/>
                <w:szCs w:val="21"/>
                <w:shd w:val="clear" w:color="auto" w:fill="FFFFFF"/>
              </w:rPr>
              <w:t>节能产品：</w:t>
            </w:r>
          </w:p>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pacing w:val="8"/>
                <w:szCs w:val="21"/>
                <w:shd w:val="clear" w:color="auto" w:fill="FFFFFF"/>
              </w:rPr>
            </w:pPr>
            <w:r>
              <w:rPr>
                <w:rFonts w:hint="eastAsia" w:cs="宋体" w:asciiTheme="minorEastAsia" w:hAnsiTheme="minorEastAsia" w:eastAsiaTheme="minorEastAsia"/>
                <w:color w:val="auto"/>
                <w:spacing w:val="8"/>
                <w:szCs w:val="21"/>
                <w:shd w:val="clear" w:color="auto" w:fill="FFFFFF"/>
              </w:rPr>
              <w:t>提供投标产品主体</w:t>
            </w:r>
            <w:r>
              <w:rPr>
                <w:rFonts w:hint="eastAsia" w:cs="宋体" w:asciiTheme="minorEastAsia" w:hAnsiTheme="minorEastAsia" w:eastAsiaTheme="minorEastAsia"/>
                <w:color w:val="auto"/>
                <w:spacing w:val="8"/>
                <w:szCs w:val="21"/>
              </w:rPr>
              <w:t>环境标志产品</w:t>
            </w:r>
            <w:r>
              <w:rPr>
                <w:rFonts w:hint="eastAsia" w:cs="宋体" w:asciiTheme="minorEastAsia" w:hAnsiTheme="minorEastAsia" w:eastAsiaTheme="minorEastAsia"/>
                <w:color w:val="auto"/>
                <w:spacing w:val="8"/>
                <w:szCs w:val="21"/>
                <w:shd w:val="clear" w:color="auto" w:fill="FFFFFF"/>
              </w:rPr>
              <w:t>认证证书的（有效期内），得</w:t>
            </w:r>
            <w:r>
              <w:rPr>
                <w:rFonts w:hint="eastAsia" w:cs="宋体" w:asciiTheme="minorEastAsia" w:hAnsiTheme="minorEastAsia" w:eastAsiaTheme="minorEastAsia"/>
                <w:color w:val="auto"/>
                <w:spacing w:val="8"/>
                <w:szCs w:val="21"/>
                <w:shd w:val="clear" w:color="auto" w:fill="FFFFFF"/>
                <w:lang w:val="en-US" w:eastAsia="zh-CN"/>
              </w:rPr>
              <w:t>0.5</w:t>
            </w:r>
            <w:r>
              <w:rPr>
                <w:rFonts w:hint="eastAsia" w:cs="宋体" w:asciiTheme="minorEastAsia" w:hAnsiTheme="minorEastAsia" w:eastAsiaTheme="minorEastAsia"/>
                <w:color w:val="auto"/>
                <w:spacing w:val="8"/>
                <w:szCs w:val="21"/>
                <w:shd w:val="clear" w:color="auto" w:fill="FFFFFF"/>
              </w:rPr>
              <w:t>分；</w:t>
            </w:r>
          </w:p>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pacing w:val="8"/>
                <w:szCs w:val="21"/>
                <w:shd w:val="clear" w:color="auto" w:fill="FFFFFF"/>
              </w:rPr>
              <w:t>提供投标产品主体节能产品认证证书的（有效期内），得</w:t>
            </w:r>
            <w:r>
              <w:rPr>
                <w:rFonts w:hint="eastAsia" w:cs="宋体" w:asciiTheme="minorEastAsia" w:hAnsiTheme="minorEastAsia" w:eastAsiaTheme="minorEastAsia"/>
                <w:color w:val="auto"/>
                <w:spacing w:val="8"/>
                <w:szCs w:val="21"/>
                <w:shd w:val="clear" w:color="auto" w:fill="FFFFFF"/>
                <w:lang w:val="en-US" w:eastAsia="zh-CN"/>
              </w:rPr>
              <w:t>0.5</w:t>
            </w:r>
            <w:r>
              <w:rPr>
                <w:rFonts w:hint="eastAsia" w:cs="宋体" w:asciiTheme="minorEastAsia" w:hAnsiTheme="minorEastAsia" w:eastAsiaTheme="minorEastAsia"/>
                <w:color w:val="auto"/>
                <w:spacing w:val="8"/>
                <w:szCs w:val="21"/>
                <w:shd w:val="clear" w:color="auto" w:fill="FFFFFF"/>
              </w:rPr>
              <w:t>分。</w:t>
            </w:r>
          </w:p>
        </w:tc>
        <w:tc>
          <w:tcPr>
            <w:tcW w:w="1134" w:type="dxa"/>
            <w:vAlign w:val="center"/>
          </w:tcPr>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lang w:val="en-US" w:eastAsia="zh-CN"/>
              </w:rPr>
              <w:t>1</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投标文件质量：内容详实、编制有序、书面整洁、装订整齐等。</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0-1分</w:t>
            </w:r>
          </w:p>
        </w:tc>
      </w:tr>
      <w:bookmarkEnd w:id="35"/>
      <w:bookmarkEnd w:id="36"/>
      <w:bookmarkEnd w:id="37"/>
      <w:bookmarkEnd w:id="38"/>
      <w:bookmarkEnd w:id="39"/>
      <w:bookmarkEnd w:id="40"/>
      <w:bookmarkEnd w:id="41"/>
      <w:bookmarkEnd w:id="42"/>
    </w:tbl>
    <w:p>
      <w:pPr>
        <w:pStyle w:val="5"/>
        <w:rPr>
          <w:rFonts w:hint="eastAsia" w:cs="宋体" w:asciiTheme="minorEastAsia" w:hAnsiTheme="minorEastAsia" w:eastAsiaTheme="minorEastAsia"/>
          <w:color w:val="auto"/>
          <w:szCs w:val="21"/>
        </w:rPr>
      </w:pPr>
      <w:bookmarkStart w:id="138" w:name="_Hlk8251304"/>
    </w:p>
    <w:p>
      <w:pPr>
        <w:pStyle w:val="5"/>
        <w:rPr>
          <w:rFonts w:cs="宋体" w:asciiTheme="minorEastAsia" w:hAnsiTheme="minorEastAsia" w:eastAsiaTheme="minorEastAsia"/>
          <w:color w:val="auto"/>
          <w:szCs w:val="21"/>
        </w:rPr>
      </w:pPr>
      <w:bookmarkStart w:id="139" w:name="_Toc24449"/>
      <w:r>
        <w:rPr>
          <w:rFonts w:hint="eastAsia" w:cs="宋体" w:asciiTheme="minorEastAsia" w:hAnsiTheme="minorEastAsia" w:eastAsiaTheme="minorEastAsia"/>
          <w:color w:val="auto"/>
          <w:szCs w:val="21"/>
        </w:rPr>
        <w:t>6.评标报告</w:t>
      </w:r>
      <w:bookmarkEnd w:id="139"/>
    </w:p>
    <w:p>
      <w:pPr>
        <w:ind w:firstLine="420"/>
        <w:rPr>
          <w:rFonts w:cs="宋体" w:asciiTheme="minorEastAsia" w:hAnsiTheme="minorEastAsia" w:eastAsiaTheme="minorEastAsia"/>
          <w:color w:val="auto"/>
          <w:szCs w:val="21"/>
        </w:rPr>
      </w:pPr>
      <w:bookmarkStart w:id="140" w:name="_Hlk8573416"/>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评标委员会成员应当独立、客观、公正、审慎地提出评审意见，不得带有倾向性，不得影响其他人员评审，评标委员会成员对需要共同认定的事项存在争议的，应当按照少数服从多数的原则作出结论。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评标结束后，评标委员会应当根据评审结果编写评标报告，按评审得分由高到低顺序推荐中标候选人，如排名第一的中标候选人投标报价为最高报价的，评标报告中必须对其报价的合理性等进行分析和特别说明。评标委员会全体人员对评标报告进行签字确认。如对评标报告有异议的，可以在报告中签署不同意见，并说明理由，否则视为同意。</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评标委员会向采购人提交采购项目评标报告，评标报告是采购人确定中标人的合法依据。</w:t>
      </w:r>
    </w:p>
    <w:bookmarkEnd w:id="138"/>
    <w:bookmarkEnd w:id="140"/>
    <w:p>
      <w:pPr>
        <w:ind w:firstLine="420"/>
        <w:rPr>
          <w:rFonts w:cs="宋体" w:asciiTheme="minorEastAsia" w:hAnsiTheme="minorEastAsia" w:eastAsiaTheme="minorEastAsia"/>
          <w:strike/>
          <w:color w:val="auto"/>
          <w:szCs w:val="21"/>
        </w:rPr>
      </w:pPr>
    </w:p>
    <w:sectPr>
      <w:pgSz w:w="11906" w:h="16838"/>
      <w:pgMar w:top="1247" w:right="1304" w:bottom="1020" w:left="130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仿宋">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080E0000" w:usb2="00000000" w:usb3="00000000" w:csb0="00040001" w:csb1="00000000"/>
  </w:font>
  <w:font w:name="华文中宋">
    <w:altName w:val="Times New Roman"/>
    <w:panose1 w:val="00000000000000000000"/>
    <w:charset w:val="00"/>
    <w:family w:val="auto"/>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518"/>
      </w:tabs>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052268"/>
    </w:sdtPr>
    <w:sdtContent>
      <w:p>
        <w:pPr>
          <w:pStyle w:val="15"/>
          <w:ind w:firstLine="360"/>
          <w:jc w:val="center"/>
        </w:pPr>
        <w:r>
          <w:fldChar w:fldCharType="begin"/>
        </w:r>
        <w:r>
          <w:instrText xml:space="preserve">PAGE   \* MERGEFORMAT</w:instrText>
        </w:r>
        <w:r>
          <w:fldChar w:fldCharType="separate"/>
        </w:r>
        <w:r>
          <w:rPr>
            <w:lang w:val="zh-CN"/>
          </w:rPr>
          <w:t>1</w:t>
        </w:r>
        <w:r>
          <w:rPr>
            <w:lang w:val="zh-CN"/>
          </w:rPr>
          <w:fldChar w:fldCharType="end"/>
        </w:r>
      </w:p>
    </w:sdtContent>
  </w:sdt>
  <w:p>
    <w:pPr>
      <w:wordWrap w:val="0"/>
      <w:ind w:firstLine="42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141995024"/>
                          </w:sdtPr>
                          <w:sdtContent>
                            <w:p>
                              <w:pPr>
                                <w:pStyle w:val="15"/>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sdt>
                    <w:sdtPr>
                      <w:id w:val="2141995024"/>
                    </w:sdtPr>
                    <w:sdtContent>
                      <w:p>
                        <w:pPr>
                          <w:pStyle w:val="15"/>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v:textbox>
            </v:shape>
          </w:pict>
        </mc:Fallback>
      </mc:AlternateContent>
    </w:r>
  </w:p>
  <w:p>
    <w:pPr>
      <w:wordWrap w:val="0"/>
      <w:ind w:firstLine="42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913300481"/>
                          </w:sdtPr>
                          <w:sdtContent>
                            <w:p>
                              <w:pPr>
                                <w:pStyle w:val="15"/>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sdt>
                    <w:sdtPr>
                      <w:id w:val="-1913300481"/>
                    </w:sdtPr>
                    <w:sdtContent>
                      <w:p>
                        <w:pPr>
                          <w:pStyle w:val="15"/>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v:textbox>
            </v:shape>
          </w:pict>
        </mc:Fallback>
      </mc:AlternateContent>
    </w:r>
  </w:p>
  <w:p>
    <w:pPr>
      <w:pStyle w:val="1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r>
      <w:rPr>
        <w:rFonts w:hint="eastAsia"/>
      </w:rPr>
      <w:t>XXXXXXXXXX</w:t>
    </w:r>
    <w:r>
      <w:tab/>
    </w:r>
    <w:r>
      <w:rPr>
        <w:rFonts w:hint="eastAsia"/>
      </w:rPr>
      <w:t>采购项目</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dit="trackedChanges"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49D6"/>
    <w:rsid w:val="00010C82"/>
    <w:rsid w:val="00014FAC"/>
    <w:rsid w:val="000336F0"/>
    <w:rsid w:val="00050D50"/>
    <w:rsid w:val="00051654"/>
    <w:rsid w:val="00055428"/>
    <w:rsid w:val="00077064"/>
    <w:rsid w:val="00081676"/>
    <w:rsid w:val="0008322F"/>
    <w:rsid w:val="00086E3D"/>
    <w:rsid w:val="0009571C"/>
    <w:rsid w:val="000A003D"/>
    <w:rsid w:val="000B484F"/>
    <w:rsid w:val="000B73A5"/>
    <w:rsid w:val="000D147A"/>
    <w:rsid w:val="000D5B81"/>
    <w:rsid w:val="000E41C1"/>
    <w:rsid w:val="000F2DC7"/>
    <w:rsid w:val="000F516D"/>
    <w:rsid w:val="000F5AED"/>
    <w:rsid w:val="00107193"/>
    <w:rsid w:val="00107394"/>
    <w:rsid w:val="001169C6"/>
    <w:rsid w:val="00121E2B"/>
    <w:rsid w:val="001235C0"/>
    <w:rsid w:val="0013377D"/>
    <w:rsid w:val="001349B6"/>
    <w:rsid w:val="00136745"/>
    <w:rsid w:val="001407A8"/>
    <w:rsid w:val="0017082D"/>
    <w:rsid w:val="001743F0"/>
    <w:rsid w:val="00182264"/>
    <w:rsid w:val="0018259C"/>
    <w:rsid w:val="00191032"/>
    <w:rsid w:val="0019415C"/>
    <w:rsid w:val="001A3EDD"/>
    <w:rsid w:val="001A4262"/>
    <w:rsid w:val="001B767D"/>
    <w:rsid w:val="001C530A"/>
    <w:rsid w:val="001C7186"/>
    <w:rsid w:val="001F247B"/>
    <w:rsid w:val="001F69D3"/>
    <w:rsid w:val="002027C5"/>
    <w:rsid w:val="00226432"/>
    <w:rsid w:val="00227502"/>
    <w:rsid w:val="00240F49"/>
    <w:rsid w:val="00250981"/>
    <w:rsid w:val="00255A35"/>
    <w:rsid w:val="00257160"/>
    <w:rsid w:val="00263858"/>
    <w:rsid w:val="00263899"/>
    <w:rsid w:val="00264F02"/>
    <w:rsid w:val="00271941"/>
    <w:rsid w:val="00285866"/>
    <w:rsid w:val="00297C3C"/>
    <w:rsid w:val="002A3FB5"/>
    <w:rsid w:val="002A57DC"/>
    <w:rsid w:val="002B58C5"/>
    <w:rsid w:val="002C6E4E"/>
    <w:rsid w:val="002D42FB"/>
    <w:rsid w:val="002D7FC8"/>
    <w:rsid w:val="002E4A4E"/>
    <w:rsid w:val="002E5AE4"/>
    <w:rsid w:val="002F5736"/>
    <w:rsid w:val="002F5D35"/>
    <w:rsid w:val="00301609"/>
    <w:rsid w:val="003016F7"/>
    <w:rsid w:val="00304BCE"/>
    <w:rsid w:val="00321309"/>
    <w:rsid w:val="00323FC6"/>
    <w:rsid w:val="00324BF0"/>
    <w:rsid w:val="003257DA"/>
    <w:rsid w:val="00335018"/>
    <w:rsid w:val="003408B7"/>
    <w:rsid w:val="0035270A"/>
    <w:rsid w:val="00382B1E"/>
    <w:rsid w:val="00385AD4"/>
    <w:rsid w:val="003A6A1F"/>
    <w:rsid w:val="003B0734"/>
    <w:rsid w:val="003B3EB6"/>
    <w:rsid w:val="003B7301"/>
    <w:rsid w:val="003C0B95"/>
    <w:rsid w:val="003D05FE"/>
    <w:rsid w:val="003D5739"/>
    <w:rsid w:val="003E7D3D"/>
    <w:rsid w:val="003F23EE"/>
    <w:rsid w:val="00400B4D"/>
    <w:rsid w:val="00412E0C"/>
    <w:rsid w:val="00421A07"/>
    <w:rsid w:val="00435E1D"/>
    <w:rsid w:val="00457A98"/>
    <w:rsid w:val="004605F4"/>
    <w:rsid w:val="004731D2"/>
    <w:rsid w:val="004733DF"/>
    <w:rsid w:val="00475C95"/>
    <w:rsid w:val="00484996"/>
    <w:rsid w:val="004910A4"/>
    <w:rsid w:val="004916C1"/>
    <w:rsid w:val="004A3362"/>
    <w:rsid w:val="004B5063"/>
    <w:rsid w:val="004B52EE"/>
    <w:rsid w:val="004B564C"/>
    <w:rsid w:val="004C6FC3"/>
    <w:rsid w:val="004D2D84"/>
    <w:rsid w:val="004F79C2"/>
    <w:rsid w:val="00502F68"/>
    <w:rsid w:val="00505FB5"/>
    <w:rsid w:val="00513DB4"/>
    <w:rsid w:val="0051628E"/>
    <w:rsid w:val="00526051"/>
    <w:rsid w:val="00530F28"/>
    <w:rsid w:val="00532C58"/>
    <w:rsid w:val="005344FD"/>
    <w:rsid w:val="00536A69"/>
    <w:rsid w:val="00541E98"/>
    <w:rsid w:val="00552B8E"/>
    <w:rsid w:val="00553022"/>
    <w:rsid w:val="00554E53"/>
    <w:rsid w:val="00555179"/>
    <w:rsid w:val="00565177"/>
    <w:rsid w:val="00565E0A"/>
    <w:rsid w:val="00570137"/>
    <w:rsid w:val="00572094"/>
    <w:rsid w:val="00582A61"/>
    <w:rsid w:val="00590972"/>
    <w:rsid w:val="00591445"/>
    <w:rsid w:val="00594D6C"/>
    <w:rsid w:val="0059740A"/>
    <w:rsid w:val="005A3801"/>
    <w:rsid w:val="005B1D7D"/>
    <w:rsid w:val="005B289C"/>
    <w:rsid w:val="005B2DE5"/>
    <w:rsid w:val="005B43AF"/>
    <w:rsid w:val="005C3A16"/>
    <w:rsid w:val="005C50E2"/>
    <w:rsid w:val="005D027C"/>
    <w:rsid w:val="005E4235"/>
    <w:rsid w:val="005E5167"/>
    <w:rsid w:val="005F101C"/>
    <w:rsid w:val="005F23A6"/>
    <w:rsid w:val="005F2EB3"/>
    <w:rsid w:val="0060036A"/>
    <w:rsid w:val="00600F79"/>
    <w:rsid w:val="006126FF"/>
    <w:rsid w:val="00614BBF"/>
    <w:rsid w:val="006407DD"/>
    <w:rsid w:val="00641E7F"/>
    <w:rsid w:val="006504C6"/>
    <w:rsid w:val="00651A7A"/>
    <w:rsid w:val="00656482"/>
    <w:rsid w:val="00670171"/>
    <w:rsid w:val="00670E95"/>
    <w:rsid w:val="00671D5E"/>
    <w:rsid w:val="006779A0"/>
    <w:rsid w:val="00684E9B"/>
    <w:rsid w:val="00687F93"/>
    <w:rsid w:val="006907CF"/>
    <w:rsid w:val="00694E19"/>
    <w:rsid w:val="006B474F"/>
    <w:rsid w:val="006E259D"/>
    <w:rsid w:val="006F480D"/>
    <w:rsid w:val="006F597E"/>
    <w:rsid w:val="007026E7"/>
    <w:rsid w:val="00711E70"/>
    <w:rsid w:val="0071427F"/>
    <w:rsid w:val="00736C48"/>
    <w:rsid w:val="00736F55"/>
    <w:rsid w:val="00752B09"/>
    <w:rsid w:val="007539CF"/>
    <w:rsid w:val="00754878"/>
    <w:rsid w:val="00754B2F"/>
    <w:rsid w:val="00757C58"/>
    <w:rsid w:val="00773776"/>
    <w:rsid w:val="00774170"/>
    <w:rsid w:val="007B2CF6"/>
    <w:rsid w:val="007B4269"/>
    <w:rsid w:val="007B533A"/>
    <w:rsid w:val="007C1E77"/>
    <w:rsid w:val="007D0A77"/>
    <w:rsid w:val="00805519"/>
    <w:rsid w:val="00810E41"/>
    <w:rsid w:val="008326E3"/>
    <w:rsid w:val="00834B43"/>
    <w:rsid w:val="008411B5"/>
    <w:rsid w:val="008530D6"/>
    <w:rsid w:val="00854E2D"/>
    <w:rsid w:val="00861340"/>
    <w:rsid w:val="00866752"/>
    <w:rsid w:val="00867413"/>
    <w:rsid w:val="008823C7"/>
    <w:rsid w:val="00892CD9"/>
    <w:rsid w:val="008B1BDC"/>
    <w:rsid w:val="008C7DE0"/>
    <w:rsid w:val="008E66CE"/>
    <w:rsid w:val="008F4F0A"/>
    <w:rsid w:val="00933266"/>
    <w:rsid w:val="00933E3E"/>
    <w:rsid w:val="009352E5"/>
    <w:rsid w:val="009376D7"/>
    <w:rsid w:val="00937B8C"/>
    <w:rsid w:val="00953940"/>
    <w:rsid w:val="00962EBD"/>
    <w:rsid w:val="00967F72"/>
    <w:rsid w:val="009725F3"/>
    <w:rsid w:val="00972C2E"/>
    <w:rsid w:val="009809DE"/>
    <w:rsid w:val="00986EEA"/>
    <w:rsid w:val="009A61C0"/>
    <w:rsid w:val="009C1FE9"/>
    <w:rsid w:val="009C3518"/>
    <w:rsid w:val="009C470D"/>
    <w:rsid w:val="009D4623"/>
    <w:rsid w:val="009E308C"/>
    <w:rsid w:val="009E3AA1"/>
    <w:rsid w:val="009F0D94"/>
    <w:rsid w:val="009F3495"/>
    <w:rsid w:val="00A0176D"/>
    <w:rsid w:val="00A02354"/>
    <w:rsid w:val="00A05222"/>
    <w:rsid w:val="00A06198"/>
    <w:rsid w:val="00A10B91"/>
    <w:rsid w:val="00A22B8A"/>
    <w:rsid w:val="00A23B88"/>
    <w:rsid w:val="00A27839"/>
    <w:rsid w:val="00A3455A"/>
    <w:rsid w:val="00A51925"/>
    <w:rsid w:val="00A53BEC"/>
    <w:rsid w:val="00A570A3"/>
    <w:rsid w:val="00A70419"/>
    <w:rsid w:val="00A71B2D"/>
    <w:rsid w:val="00A84421"/>
    <w:rsid w:val="00A9311F"/>
    <w:rsid w:val="00AA1D1F"/>
    <w:rsid w:val="00AA1DDB"/>
    <w:rsid w:val="00AA57F4"/>
    <w:rsid w:val="00AC47B0"/>
    <w:rsid w:val="00AE3875"/>
    <w:rsid w:val="00AE4DE9"/>
    <w:rsid w:val="00AE554D"/>
    <w:rsid w:val="00AF10F3"/>
    <w:rsid w:val="00AF5C32"/>
    <w:rsid w:val="00B01A19"/>
    <w:rsid w:val="00B01D3D"/>
    <w:rsid w:val="00B12F11"/>
    <w:rsid w:val="00B17260"/>
    <w:rsid w:val="00B24C08"/>
    <w:rsid w:val="00B3278F"/>
    <w:rsid w:val="00B40151"/>
    <w:rsid w:val="00B532D8"/>
    <w:rsid w:val="00B544C1"/>
    <w:rsid w:val="00B66C03"/>
    <w:rsid w:val="00B94BCD"/>
    <w:rsid w:val="00B9537B"/>
    <w:rsid w:val="00B972E6"/>
    <w:rsid w:val="00BA002D"/>
    <w:rsid w:val="00BB4D20"/>
    <w:rsid w:val="00BC1D01"/>
    <w:rsid w:val="00BC2BD1"/>
    <w:rsid w:val="00BC425C"/>
    <w:rsid w:val="00BC7819"/>
    <w:rsid w:val="00BD184A"/>
    <w:rsid w:val="00C00D95"/>
    <w:rsid w:val="00C11EC8"/>
    <w:rsid w:val="00C1774C"/>
    <w:rsid w:val="00C27CD4"/>
    <w:rsid w:val="00C305A7"/>
    <w:rsid w:val="00C30E55"/>
    <w:rsid w:val="00C34CF0"/>
    <w:rsid w:val="00C40810"/>
    <w:rsid w:val="00C440F9"/>
    <w:rsid w:val="00C57A66"/>
    <w:rsid w:val="00C60363"/>
    <w:rsid w:val="00C65BF3"/>
    <w:rsid w:val="00C676F1"/>
    <w:rsid w:val="00C71910"/>
    <w:rsid w:val="00C719FA"/>
    <w:rsid w:val="00C7245B"/>
    <w:rsid w:val="00C804AB"/>
    <w:rsid w:val="00C8256D"/>
    <w:rsid w:val="00C92FD5"/>
    <w:rsid w:val="00C93D7D"/>
    <w:rsid w:val="00C93FD7"/>
    <w:rsid w:val="00C9449C"/>
    <w:rsid w:val="00C97C32"/>
    <w:rsid w:val="00CA2B18"/>
    <w:rsid w:val="00CA4554"/>
    <w:rsid w:val="00CA50BF"/>
    <w:rsid w:val="00CB1E16"/>
    <w:rsid w:val="00CB2F4D"/>
    <w:rsid w:val="00CD45A6"/>
    <w:rsid w:val="00CE069E"/>
    <w:rsid w:val="00CE2486"/>
    <w:rsid w:val="00CE252F"/>
    <w:rsid w:val="00CE5CED"/>
    <w:rsid w:val="00D02095"/>
    <w:rsid w:val="00D235E1"/>
    <w:rsid w:val="00D319B1"/>
    <w:rsid w:val="00D50768"/>
    <w:rsid w:val="00D60328"/>
    <w:rsid w:val="00D62ABB"/>
    <w:rsid w:val="00D707A6"/>
    <w:rsid w:val="00D76421"/>
    <w:rsid w:val="00D83EF9"/>
    <w:rsid w:val="00D86482"/>
    <w:rsid w:val="00DA1905"/>
    <w:rsid w:val="00DA3633"/>
    <w:rsid w:val="00DA699B"/>
    <w:rsid w:val="00DA77E7"/>
    <w:rsid w:val="00DB0FDD"/>
    <w:rsid w:val="00DB7510"/>
    <w:rsid w:val="00DC78F2"/>
    <w:rsid w:val="00DD08E8"/>
    <w:rsid w:val="00DE1BF5"/>
    <w:rsid w:val="00DF1488"/>
    <w:rsid w:val="00E110E0"/>
    <w:rsid w:val="00E15E90"/>
    <w:rsid w:val="00E31EF1"/>
    <w:rsid w:val="00E35FEB"/>
    <w:rsid w:val="00E52889"/>
    <w:rsid w:val="00E55903"/>
    <w:rsid w:val="00E56CF8"/>
    <w:rsid w:val="00E87CC8"/>
    <w:rsid w:val="00ED0ADD"/>
    <w:rsid w:val="00ED46C6"/>
    <w:rsid w:val="00EE1D2E"/>
    <w:rsid w:val="00EE3F86"/>
    <w:rsid w:val="00EE5472"/>
    <w:rsid w:val="00EF26D8"/>
    <w:rsid w:val="00F07678"/>
    <w:rsid w:val="00F07A25"/>
    <w:rsid w:val="00F17D50"/>
    <w:rsid w:val="00F43325"/>
    <w:rsid w:val="00F4449E"/>
    <w:rsid w:val="00F45387"/>
    <w:rsid w:val="00F50F65"/>
    <w:rsid w:val="00F5343C"/>
    <w:rsid w:val="00F56A2F"/>
    <w:rsid w:val="00F667E2"/>
    <w:rsid w:val="00F84226"/>
    <w:rsid w:val="00FA65AE"/>
    <w:rsid w:val="00FB3B73"/>
    <w:rsid w:val="00FB562A"/>
    <w:rsid w:val="00FC3495"/>
    <w:rsid w:val="00FC3B7C"/>
    <w:rsid w:val="00FD2DC3"/>
    <w:rsid w:val="00FE5D54"/>
    <w:rsid w:val="00FF11B0"/>
    <w:rsid w:val="00FF33D7"/>
    <w:rsid w:val="00FF3FFB"/>
    <w:rsid w:val="00FF4388"/>
    <w:rsid w:val="016A0BF4"/>
    <w:rsid w:val="016D0976"/>
    <w:rsid w:val="019764DD"/>
    <w:rsid w:val="01B86215"/>
    <w:rsid w:val="01C026FC"/>
    <w:rsid w:val="01DD355F"/>
    <w:rsid w:val="02011831"/>
    <w:rsid w:val="022B1123"/>
    <w:rsid w:val="02326664"/>
    <w:rsid w:val="02635D4D"/>
    <w:rsid w:val="026A7D29"/>
    <w:rsid w:val="026B1A95"/>
    <w:rsid w:val="027124C7"/>
    <w:rsid w:val="027746B0"/>
    <w:rsid w:val="02915827"/>
    <w:rsid w:val="029A0069"/>
    <w:rsid w:val="029B3E2E"/>
    <w:rsid w:val="02AC3ED6"/>
    <w:rsid w:val="02B45CAE"/>
    <w:rsid w:val="02C76EF6"/>
    <w:rsid w:val="02F83C81"/>
    <w:rsid w:val="02FD7145"/>
    <w:rsid w:val="032C1C01"/>
    <w:rsid w:val="033974B7"/>
    <w:rsid w:val="033F2B94"/>
    <w:rsid w:val="034E3126"/>
    <w:rsid w:val="035E1C58"/>
    <w:rsid w:val="036C7375"/>
    <w:rsid w:val="037660AE"/>
    <w:rsid w:val="037D00DC"/>
    <w:rsid w:val="038E0800"/>
    <w:rsid w:val="03E16289"/>
    <w:rsid w:val="03F374EB"/>
    <w:rsid w:val="04290938"/>
    <w:rsid w:val="045B29C7"/>
    <w:rsid w:val="04633863"/>
    <w:rsid w:val="048A5842"/>
    <w:rsid w:val="04985FCF"/>
    <w:rsid w:val="04A813D8"/>
    <w:rsid w:val="04CE5BE8"/>
    <w:rsid w:val="04F86083"/>
    <w:rsid w:val="051B3191"/>
    <w:rsid w:val="05253AA9"/>
    <w:rsid w:val="05AA4F9B"/>
    <w:rsid w:val="05DE651D"/>
    <w:rsid w:val="05F64A3D"/>
    <w:rsid w:val="063C5AC4"/>
    <w:rsid w:val="065A41DD"/>
    <w:rsid w:val="065F36A4"/>
    <w:rsid w:val="0661605C"/>
    <w:rsid w:val="067E31DD"/>
    <w:rsid w:val="06870112"/>
    <w:rsid w:val="06CF25AA"/>
    <w:rsid w:val="06E72FC4"/>
    <w:rsid w:val="06EB5ED4"/>
    <w:rsid w:val="071D465B"/>
    <w:rsid w:val="074A6F28"/>
    <w:rsid w:val="075C6EC4"/>
    <w:rsid w:val="078A5D0D"/>
    <w:rsid w:val="08445421"/>
    <w:rsid w:val="084A5D61"/>
    <w:rsid w:val="0860207F"/>
    <w:rsid w:val="08972793"/>
    <w:rsid w:val="08CD098D"/>
    <w:rsid w:val="08F4774F"/>
    <w:rsid w:val="08FE0C49"/>
    <w:rsid w:val="09025D8B"/>
    <w:rsid w:val="092F3252"/>
    <w:rsid w:val="094F3E52"/>
    <w:rsid w:val="099548E3"/>
    <w:rsid w:val="09A9476A"/>
    <w:rsid w:val="09AE4010"/>
    <w:rsid w:val="09E7087E"/>
    <w:rsid w:val="09F65EE5"/>
    <w:rsid w:val="0A1B6A4B"/>
    <w:rsid w:val="0A3964D4"/>
    <w:rsid w:val="0A4C500A"/>
    <w:rsid w:val="0A5C1E18"/>
    <w:rsid w:val="0ACE0701"/>
    <w:rsid w:val="0AEF0648"/>
    <w:rsid w:val="0AFF4EB4"/>
    <w:rsid w:val="0B1A04CC"/>
    <w:rsid w:val="0B1D5C31"/>
    <w:rsid w:val="0B2D37B3"/>
    <w:rsid w:val="0B354EE9"/>
    <w:rsid w:val="0B371410"/>
    <w:rsid w:val="0B4E2383"/>
    <w:rsid w:val="0B544093"/>
    <w:rsid w:val="0B665948"/>
    <w:rsid w:val="0B692D94"/>
    <w:rsid w:val="0B8A0501"/>
    <w:rsid w:val="0BC719C3"/>
    <w:rsid w:val="0C2A69F4"/>
    <w:rsid w:val="0C2F5118"/>
    <w:rsid w:val="0C5F443A"/>
    <w:rsid w:val="0C834CDD"/>
    <w:rsid w:val="0CA9007C"/>
    <w:rsid w:val="0CB96351"/>
    <w:rsid w:val="0CD74216"/>
    <w:rsid w:val="0CF90D3F"/>
    <w:rsid w:val="0D047BF7"/>
    <w:rsid w:val="0D082A62"/>
    <w:rsid w:val="0D1F0A5E"/>
    <w:rsid w:val="0D760386"/>
    <w:rsid w:val="0D934995"/>
    <w:rsid w:val="0DE379CE"/>
    <w:rsid w:val="0DEE1402"/>
    <w:rsid w:val="0DF61D18"/>
    <w:rsid w:val="0E4D68EE"/>
    <w:rsid w:val="0E6B4501"/>
    <w:rsid w:val="0E7C3762"/>
    <w:rsid w:val="0E8A4307"/>
    <w:rsid w:val="0EC4530F"/>
    <w:rsid w:val="0ED96397"/>
    <w:rsid w:val="0EE27EEA"/>
    <w:rsid w:val="0EFC6224"/>
    <w:rsid w:val="0F0D207F"/>
    <w:rsid w:val="0F1F33CA"/>
    <w:rsid w:val="0F206154"/>
    <w:rsid w:val="0F216ADF"/>
    <w:rsid w:val="0F5A1D2E"/>
    <w:rsid w:val="0F5D09A9"/>
    <w:rsid w:val="0F6358F1"/>
    <w:rsid w:val="0F92757D"/>
    <w:rsid w:val="0F9C1886"/>
    <w:rsid w:val="0FDC5AAB"/>
    <w:rsid w:val="0FDD4B94"/>
    <w:rsid w:val="0FED5356"/>
    <w:rsid w:val="0FFF14AC"/>
    <w:rsid w:val="0FFF3C83"/>
    <w:rsid w:val="100516FD"/>
    <w:rsid w:val="1015684F"/>
    <w:rsid w:val="10282EF8"/>
    <w:rsid w:val="106C291F"/>
    <w:rsid w:val="10A268D6"/>
    <w:rsid w:val="10B17994"/>
    <w:rsid w:val="10BC14A3"/>
    <w:rsid w:val="10BE316C"/>
    <w:rsid w:val="10C90457"/>
    <w:rsid w:val="10CF2DFA"/>
    <w:rsid w:val="10E50F1B"/>
    <w:rsid w:val="11190F3E"/>
    <w:rsid w:val="111B5AA1"/>
    <w:rsid w:val="1163213F"/>
    <w:rsid w:val="11637BC4"/>
    <w:rsid w:val="11756811"/>
    <w:rsid w:val="118B5C15"/>
    <w:rsid w:val="11BF2F8F"/>
    <w:rsid w:val="11C10CD7"/>
    <w:rsid w:val="11E27FBC"/>
    <w:rsid w:val="122F5A3C"/>
    <w:rsid w:val="127B4D9E"/>
    <w:rsid w:val="12A04654"/>
    <w:rsid w:val="12AB418A"/>
    <w:rsid w:val="12B07B12"/>
    <w:rsid w:val="12D25D81"/>
    <w:rsid w:val="131465C1"/>
    <w:rsid w:val="1332055C"/>
    <w:rsid w:val="134A1B4D"/>
    <w:rsid w:val="135026F1"/>
    <w:rsid w:val="137202BD"/>
    <w:rsid w:val="13C17407"/>
    <w:rsid w:val="141E540C"/>
    <w:rsid w:val="142963CE"/>
    <w:rsid w:val="14772067"/>
    <w:rsid w:val="147C05C6"/>
    <w:rsid w:val="14812702"/>
    <w:rsid w:val="148E62E6"/>
    <w:rsid w:val="14AF745D"/>
    <w:rsid w:val="15092B92"/>
    <w:rsid w:val="152555A2"/>
    <w:rsid w:val="15736B2E"/>
    <w:rsid w:val="15775CA6"/>
    <w:rsid w:val="157762BE"/>
    <w:rsid w:val="15976681"/>
    <w:rsid w:val="15AF6BF0"/>
    <w:rsid w:val="15BF0601"/>
    <w:rsid w:val="15E24531"/>
    <w:rsid w:val="15F43F9E"/>
    <w:rsid w:val="160773E3"/>
    <w:rsid w:val="1627097F"/>
    <w:rsid w:val="162B2F6C"/>
    <w:rsid w:val="16606DC9"/>
    <w:rsid w:val="16795962"/>
    <w:rsid w:val="168C7E1F"/>
    <w:rsid w:val="1695469B"/>
    <w:rsid w:val="16AA1E74"/>
    <w:rsid w:val="16FE2B75"/>
    <w:rsid w:val="17173725"/>
    <w:rsid w:val="17392CFF"/>
    <w:rsid w:val="17663806"/>
    <w:rsid w:val="179247F0"/>
    <w:rsid w:val="179C41EE"/>
    <w:rsid w:val="17B415C2"/>
    <w:rsid w:val="180434E6"/>
    <w:rsid w:val="18071216"/>
    <w:rsid w:val="180C4F36"/>
    <w:rsid w:val="185A4FA0"/>
    <w:rsid w:val="185D6797"/>
    <w:rsid w:val="188426C3"/>
    <w:rsid w:val="188C52AB"/>
    <w:rsid w:val="18981D1D"/>
    <w:rsid w:val="189D1289"/>
    <w:rsid w:val="18A749FB"/>
    <w:rsid w:val="18EA4EB0"/>
    <w:rsid w:val="18FA0117"/>
    <w:rsid w:val="192A720F"/>
    <w:rsid w:val="198E7190"/>
    <w:rsid w:val="19FF1083"/>
    <w:rsid w:val="1A0321D3"/>
    <w:rsid w:val="1A2C1913"/>
    <w:rsid w:val="1A394CFA"/>
    <w:rsid w:val="1A6431DD"/>
    <w:rsid w:val="1A6F0BAA"/>
    <w:rsid w:val="1A81694B"/>
    <w:rsid w:val="1AA175EA"/>
    <w:rsid w:val="1AB73B26"/>
    <w:rsid w:val="1AC12FC6"/>
    <w:rsid w:val="1B4037D5"/>
    <w:rsid w:val="1B451886"/>
    <w:rsid w:val="1B502AE4"/>
    <w:rsid w:val="1B885A0A"/>
    <w:rsid w:val="1BC60200"/>
    <w:rsid w:val="1BDA6885"/>
    <w:rsid w:val="1C2F557E"/>
    <w:rsid w:val="1C6A364A"/>
    <w:rsid w:val="1C6B50BF"/>
    <w:rsid w:val="1C7B4640"/>
    <w:rsid w:val="1C8141F8"/>
    <w:rsid w:val="1C844706"/>
    <w:rsid w:val="1CA24372"/>
    <w:rsid w:val="1CBD3B5C"/>
    <w:rsid w:val="1CE14C16"/>
    <w:rsid w:val="1D1A04CE"/>
    <w:rsid w:val="1D335D6B"/>
    <w:rsid w:val="1D3A47A0"/>
    <w:rsid w:val="1D400EDC"/>
    <w:rsid w:val="1D595AAF"/>
    <w:rsid w:val="1D9E2625"/>
    <w:rsid w:val="1DB047DC"/>
    <w:rsid w:val="1DC60F08"/>
    <w:rsid w:val="1DD873CD"/>
    <w:rsid w:val="1DDD3F28"/>
    <w:rsid w:val="1DF134F8"/>
    <w:rsid w:val="1E115D08"/>
    <w:rsid w:val="1E2C0B2C"/>
    <w:rsid w:val="1E354FEC"/>
    <w:rsid w:val="1E384378"/>
    <w:rsid w:val="1E5F2E75"/>
    <w:rsid w:val="1E932A58"/>
    <w:rsid w:val="1EB6519E"/>
    <w:rsid w:val="1F0E0F9F"/>
    <w:rsid w:val="1F2C585F"/>
    <w:rsid w:val="1F3A3754"/>
    <w:rsid w:val="1F4D172F"/>
    <w:rsid w:val="1F7F7816"/>
    <w:rsid w:val="200074E1"/>
    <w:rsid w:val="20021D29"/>
    <w:rsid w:val="20213157"/>
    <w:rsid w:val="20740F17"/>
    <w:rsid w:val="20A20E0E"/>
    <w:rsid w:val="20C35C55"/>
    <w:rsid w:val="212479C2"/>
    <w:rsid w:val="212F35B1"/>
    <w:rsid w:val="213E6B14"/>
    <w:rsid w:val="21472412"/>
    <w:rsid w:val="215A7C75"/>
    <w:rsid w:val="21AF204D"/>
    <w:rsid w:val="220531BD"/>
    <w:rsid w:val="22095A26"/>
    <w:rsid w:val="220B218A"/>
    <w:rsid w:val="22172C98"/>
    <w:rsid w:val="221D781B"/>
    <w:rsid w:val="22670189"/>
    <w:rsid w:val="228D294F"/>
    <w:rsid w:val="22B671BE"/>
    <w:rsid w:val="22FE47FF"/>
    <w:rsid w:val="23135C86"/>
    <w:rsid w:val="23207B4E"/>
    <w:rsid w:val="23313F9F"/>
    <w:rsid w:val="23492F4B"/>
    <w:rsid w:val="23636D42"/>
    <w:rsid w:val="23661CBB"/>
    <w:rsid w:val="236858EC"/>
    <w:rsid w:val="236A55CE"/>
    <w:rsid w:val="237D6A13"/>
    <w:rsid w:val="23A17732"/>
    <w:rsid w:val="23E7194E"/>
    <w:rsid w:val="24315B04"/>
    <w:rsid w:val="243E0049"/>
    <w:rsid w:val="24504786"/>
    <w:rsid w:val="247640BC"/>
    <w:rsid w:val="248F7D37"/>
    <w:rsid w:val="2524272B"/>
    <w:rsid w:val="255B4180"/>
    <w:rsid w:val="25901334"/>
    <w:rsid w:val="25AF09F4"/>
    <w:rsid w:val="25B015DB"/>
    <w:rsid w:val="25CA4B9C"/>
    <w:rsid w:val="25E32B34"/>
    <w:rsid w:val="2605295A"/>
    <w:rsid w:val="262F33A9"/>
    <w:rsid w:val="265506E9"/>
    <w:rsid w:val="265A4DB1"/>
    <w:rsid w:val="265A6C4D"/>
    <w:rsid w:val="267E234F"/>
    <w:rsid w:val="26A40E01"/>
    <w:rsid w:val="2709045C"/>
    <w:rsid w:val="27162FF3"/>
    <w:rsid w:val="272C2A7C"/>
    <w:rsid w:val="27376BD1"/>
    <w:rsid w:val="2743379A"/>
    <w:rsid w:val="2749195C"/>
    <w:rsid w:val="275B138D"/>
    <w:rsid w:val="277B19BA"/>
    <w:rsid w:val="27846701"/>
    <w:rsid w:val="27847EFA"/>
    <w:rsid w:val="27A77BB6"/>
    <w:rsid w:val="27CA5392"/>
    <w:rsid w:val="28145397"/>
    <w:rsid w:val="281F32BE"/>
    <w:rsid w:val="283055F5"/>
    <w:rsid w:val="284B48C7"/>
    <w:rsid w:val="28B86BD1"/>
    <w:rsid w:val="28F262B1"/>
    <w:rsid w:val="290B2A89"/>
    <w:rsid w:val="29CF6E3E"/>
    <w:rsid w:val="29F63BF9"/>
    <w:rsid w:val="29FE2345"/>
    <w:rsid w:val="29FE3027"/>
    <w:rsid w:val="2A02487F"/>
    <w:rsid w:val="2A2426F6"/>
    <w:rsid w:val="2A2711F3"/>
    <w:rsid w:val="2A4165F2"/>
    <w:rsid w:val="2A571BCD"/>
    <w:rsid w:val="2A7E2F13"/>
    <w:rsid w:val="2A933B0B"/>
    <w:rsid w:val="2ACF5B90"/>
    <w:rsid w:val="2ADB5A95"/>
    <w:rsid w:val="2AE27904"/>
    <w:rsid w:val="2B330FB7"/>
    <w:rsid w:val="2B636BA0"/>
    <w:rsid w:val="2B7A7449"/>
    <w:rsid w:val="2B823CC3"/>
    <w:rsid w:val="2B9565F7"/>
    <w:rsid w:val="2BAC4B70"/>
    <w:rsid w:val="2BC25A46"/>
    <w:rsid w:val="2BC736A2"/>
    <w:rsid w:val="2BD22343"/>
    <w:rsid w:val="2BFB57B0"/>
    <w:rsid w:val="2C0F1A01"/>
    <w:rsid w:val="2C1A267C"/>
    <w:rsid w:val="2C277CAF"/>
    <w:rsid w:val="2C5D2CAD"/>
    <w:rsid w:val="2C647F29"/>
    <w:rsid w:val="2C7646C0"/>
    <w:rsid w:val="2C790FA8"/>
    <w:rsid w:val="2C9D3846"/>
    <w:rsid w:val="2CA46E06"/>
    <w:rsid w:val="2CB84AFB"/>
    <w:rsid w:val="2D0527DE"/>
    <w:rsid w:val="2D083A00"/>
    <w:rsid w:val="2D140F25"/>
    <w:rsid w:val="2D257478"/>
    <w:rsid w:val="2D3C262E"/>
    <w:rsid w:val="2D4E6CF7"/>
    <w:rsid w:val="2D8D5EE2"/>
    <w:rsid w:val="2D9468EF"/>
    <w:rsid w:val="2DE40514"/>
    <w:rsid w:val="2DE90352"/>
    <w:rsid w:val="2E415F0B"/>
    <w:rsid w:val="2E571C90"/>
    <w:rsid w:val="2E747CEB"/>
    <w:rsid w:val="2E8A298D"/>
    <w:rsid w:val="2E972329"/>
    <w:rsid w:val="2E9A6265"/>
    <w:rsid w:val="2EA15413"/>
    <w:rsid w:val="2EA15724"/>
    <w:rsid w:val="2EC92BE4"/>
    <w:rsid w:val="2ECF2F32"/>
    <w:rsid w:val="2ED22573"/>
    <w:rsid w:val="2EDC3B1A"/>
    <w:rsid w:val="2EF22F19"/>
    <w:rsid w:val="2EFD2D66"/>
    <w:rsid w:val="2F5C60BC"/>
    <w:rsid w:val="2F7340BA"/>
    <w:rsid w:val="2FAC671D"/>
    <w:rsid w:val="2FE85F07"/>
    <w:rsid w:val="2FF26CCB"/>
    <w:rsid w:val="2FF7126C"/>
    <w:rsid w:val="30066DC3"/>
    <w:rsid w:val="303B65B8"/>
    <w:rsid w:val="307B55DC"/>
    <w:rsid w:val="30973CA8"/>
    <w:rsid w:val="30AE16B5"/>
    <w:rsid w:val="30DC37DC"/>
    <w:rsid w:val="30F8729D"/>
    <w:rsid w:val="31165DFB"/>
    <w:rsid w:val="313E0337"/>
    <w:rsid w:val="31561F2F"/>
    <w:rsid w:val="319665BD"/>
    <w:rsid w:val="319A2085"/>
    <w:rsid w:val="319D4620"/>
    <w:rsid w:val="31A059C9"/>
    <w:rsid w:val="31B63F22"/>
    <w:rsid w:val="322C582E"/>
    <w:rsid w:val="325F163F"/>
    <w:rsid w:val="32650125"/>
    <w:rsid w:val="32684FFC"/>
    <w:rsid w:val="32694D46"/>
    <w:rsid w:val="327274BB"/>
    <w:rsid w:val="32977A8D"/>
    <w:rsid w:val="329F5928"/>
    <w:rsid w:val="32D84E04"/>
    <w:rsid w:val="330402B7"/>
    <w:rsid w:val="333661D7"/>
    <w:rsid w:val="335B41A5"/>
    <w:rsid w:val="335D51F0"/>
    <w:rsid w:val="33CF6325"/>
    <w:rsid w:val="33EA5551"/>
    <w:rsid w:val="341D1DE3"/>
    <w:rsid w:val="342D014D"/>
    <w:rsid w:val="34314294"/>
    <w:rsid w:val="3442614F"/>
    <w:rsid w:val="345B6F1A"/>
    <w:rsid w:val="345F6F3B"/>
    <w:rsid w:val="34671C37"/>
    <w:rsid w:val="34690C69"/>
    <w:rsid w:val="34860E65"/>
    <w:rsid w:val="34A3714E"/>
    <w:rsid w:val="34CB308B"/>
    <w:rsid w:val="34D26A4C"/>
    <w:rsid w:val="35045C6E"/>
    <w:rsid w:val="350A1CF0"/>
    <w:rsid w:val="356A337B"/>
    <w:rsid w:val="356F142B"/>
    <w:rsid w:val="35706124"/>
    <w:rsid w:val="3574003F"/>
    <w:rsid w:val="359128F3"/>
    <w:rsid w:val="35A00913"/>
    <w:rsid w:val="35EB4F74"/>
    <w:rsid w:val="35F966F4"/>
    <w:rsid w:val="362A6075"/>
    <w:rsid w:val="364F2B89"/>
    <w:rsid w:val="36595658"/>
    <w:rsid w:val="365E3909"/>
    <w:rsid w:val="3667387F"/>
    <w:rsid w:val="368507EC"/>
    <w:rsid w:val="36A025E8"/>
    <w:rsid w:val="36BC12EC"/>
    <w:rsid w:val="36D550B2"/>
    <w:rsid w:val="36DE3CA3"/>
    <w:rsid w:val="36EA7BC1"/>
    <w:rsid w:val="36F73B9A"/>
    <w:rsid w:val="3702252D"/>
    <w:rsid w:val="3708657B"/>
    <w:rsid w:val="372B0DE3"/>
    <w:rsid w:val="37316729"/>
    <w:rsid w:val="37407594"/>
    <w:rsid w:val="376D05BA"/>
    <w:rsid w:val="37731078"/>
    <w:rsid w:val="37B12C87"/>
    <w:rsid w:val="37D76FA0"/>
    <w:rsid w:val="37DD3762"/>
    <w:rsid w:val="37F357C1"/>
    <w:rsid w:val="381025F2"/>
    <w:rsid w:val="384369FE"/>
    <w:rsid w:val="384848DC"/>
    <w:rsid w:val="385F2185"/>
    <w:rsid w:val="38B63080"/>
    <w:rsid w:val="38EF7AA4"/>
    <w:rsid w:val="38FC0895"/>
    <w:rsid w:val="39095A13"/>
    <w:rsid w:val="3924286C"/>
    <w:rsid w:val="39315290"/>
    <w:rsid w:val="39360A4B"/>
    <w:rsid w:val="39385A34"/>
    <w:rsid w:val="3942578B"/>
    <w:rsid w:val="39734B33"/>
    <w:rsid w:val="39853B75"/>
    <w:rsid w:val="39A82AB5"/>
    <w:rsid w:val="39AB0DA3"/>
    <w:rsid w:val="39AB36CF"/>
    <w:rsid w:val="39E07F46"/>
    <w:rsid w:val="3A053F2B"/>
    <w:rsid w:val="3A366028"/>
    <w:rsid w:val="3A741E10"/>
    <w:rsid w:val="3AAD4B07"/>
    <w:rsid w:val="3ACE62F6"/>
    <w:rsid w:val="3AD0179A"/>
    <w:rsid w:val="3AF21660"/>
    <w:rsid w:val="3AF36669"/>
    <w:rsid w:val="3AFB7AD8"/>
    <w:rsid w:val="3B256CB1"/>
    <w:rsid w:val="3B3B2D53"/>
    <w:rsid w:val="3B4D0703"/>
    <w:rsid w:val="3B5E106D"/>
    <w:rsid w:val="3B61373B"/>
    <w:rsid w:val="3B636F25"/>
    <w:rsid w:val="3B793576"/>
    <w:rsid w:val="3BD2436A"/>
    <w:rsid w:val="3BF619BF"/>
    <w:rsid w:val="3BF959A5"/>
    <w:rsid w:val="3C060040"/>
    <w:rsid w:val="3C1C1B0B"/>
    <w:rsid w:val="3C3018D0"/>
    <w:rsid w:val="3C4D0069"/>
    <w:rsid w:val="3C5A4EEA"/>
    <w:rsid w:val="3C6E58CE"/>
    <w:rsid w:val="3CA933EF"/>
    <w:rsid w:val="3CAC09E0"/>
    <w:rsid w:val="3CC16240"/>
    <w:rsid w:val="3CE20580"/>
    <w:rsid w:val="3D664F4C"/>
    <w:rsid w:val="3D7A0DC2"/>
    <w:rsid w:val="3D7D66F8"/>
    <w:rsid w:val="3D81321B"/>
    <w:rsid w:val="3DA136C6"/>
    <w:rsid w:val="3DB41DDE"/>
    <w:rsid w:val="3DC554B0"/>
    <w:rsid w:val="3DD133B8"/>
    <w:rsid w:val="3DF46DB9"/>
    <w:rsid w:val="3E1243CD"/>
    <w:rsid w:val="3E546AE1"/>
    <w:rsid w:val="3E721670"/>
    <w:rsid w:val="3E8E1E5A"/>
    <w:rsid w:val="3ED20AA6"/>
    <w:rsid w:val="3EF34D97"/>
    <w:rsid w:val="3F056BB2"/>
    <w:rsid w:val="3F5537B8"/>
    <w:rsid w:val="3F563D32"/>
    <w:rsid w:val="3F7D6F3B"/>
    <w:rsid w:val="3F867F68"/>
    <w:rsid w:val="3F8C6CC0"/>
    <w:rsid w:val="3F8D7B91"/>
    <w:rsid w:val="3FBE4A15"/>
    <w:rsid w:val="3FD5347E"/>
    <w:rsid w:val="3FF4199B"/>
    <w:rsid w:val="400643C5"/>
    <w:rsid w:val="40463876"/>
    <w:rsid w:val="405C1131"/>
    <w:rsid w:val="40785DD6"/>
    <w:rsid w:val="40813B5B"/>
    <w:rsid w:val="40BD5A81"/>
    <w:rsid w:val="40ED030A"/>
    <w:rsid w:val="40F51154"/>
    <w:rsid w:val="40F8294C"/>
    <w:rsid w:val="411A1E6D"/>
    <w:rsid w:val="41244C5D"/>
    <w:rsid w:val="418514D9"/>
    <w:rsid w:val="41960938"/>
    <w:rsid w:val="41C64ED9"/>
    <w:rsid w:val="41CD63D5"/>
    <w:rsid w:val="41D45142"/>
    <w:rsid w:val="41DE1228"/>
    <w:rsid w:val="42131EC0"/>
    <w:rsid w:val="421F53BB"/>
    <w:rsid w:val="422F3D53"/>
    <w:rsid w:val="42383507"/>
    <w:rsid w:val="42390099"/>
    <w:rsid w:val="423B61C1"/>
    <w:rsid w:val="42470035"/>
    <w:rsid w:val="42473BEF"/>
    <w:rsid w:val="42717381"/>
    <w:rsid w:val="427E1D94"/>
    <w:rsid w:val="42A740BE"/>
    <w:rsid w:val="42D32EFF"/>
    <w:rsid w:val="42DA27FA"/>
    <w:rsid w:val="42E81A47"/>
    <w:rsid w:val="42F07B1C"/>
    <w:rsid w:val="42F95E7F"/>
    <w:rsid w:val="42FA0F2E"/>
    <w:rsid w:val="431C6203"/>
    <w:rsid w:val="437265BF"/>
    <w:rsid w:val="43AF7EB7"/>
    <w:rsid w:val="43B66C17"/>
    <w:rsid w:val="43D47A5A"/>
    <w:rsid w:val="43E42FB0"/>
    <w:rsid w:val="43E53A59"/>
    <w:rsid w:val="44737FD2"/>
    <w:rsid w:val="448E07C9"/>
    <w:rsid w:val="44971DA1"/>
    <w:rsid w:val="44A16353"/>
    <w:rsid w:val="44DB709C"/>
    <w:rsid w:val="44EC01B8"/>
    <w:rsid w:val="450523FA"/>
    <w:rsid w:val="45345445"/>
    <w:rsid w:val="45766A63"/>
    <w:rsid w:val="4595463F"/>
    <w:rsid w:val="45C1341B"/>
    <w:rsid w:val="45D02213"/>
    <w:rsid w:val="45E93CDE"/>
    <w:rsid w:val="45E93F38"/>
    <w:rsid w:val="463043F1"/>
    <w:rsid w:val="46430050"/>
    <w:rsid w:val="46661C9A"/>
    <w:rsid w:val="4688515A"/>
    <w:rsid w:val="468D18BD"/>
    <w:rsid w:val="46953DA7"/>
    <w:rsid w:val="469D4E55"/>
    <w:rsid w:val="46CC6CB5"/>
    <w:rsid w:val="46F73288"/>
    <w:rsid w:val="47012761"/>
    <w:rsid w:val="47323CE2"/>
    <w:rsid w:val="47431938"/>
    <w:rsid w:val="47743044"/>
    <w:rsid w:val="477C4311"/>
    <w:rsid w:val="47986F5F"/>
    <w:rsid w:val="47990F3F"/>
    <w:rsid w:val="47BF4307"/>
    <w:rsid w:val="47ED2C32"/>
    <w:rsid w:val="48047CF8"/>
    <w:rsid w:val="48354527"/>
    <w:rsid w:val="485357A3"/>
    <w:rsid w:val="48887236"/>
    <w:rsid w:val="48903FA8"/>
    <w:rsid w:val="489D4D25"/>
    <w:rsid w:val="48AB34FC"/>
    <w:rsid w:val="48B26116"/>
    <w:rsid w:val="48E259F0"/>
    <w:rsid w:val="48E810AD"/>
    <w:rsid w:val="49016C43"/>
    <w:rsid w:val="490343C6"/>
    <w:rsid w:val="49074695"/>
    <w:rsid w:val="49093AF5"/>
    <w:rsid w:val="494A28B8"/>
    <w:rsid w:val="494E0CF3"/>
    <w:rsid w:val="496F4A9A"/>
    <w:rsid w:val="497E1BAD"/>
    <w:rsid w:val="49B76E05"/>
    <w:rsid w:val="49D62635"/>
    <w:rsid w:val="49E302B2"/>
    <w:rsid w:val="49F555CC"/>
    <w:rsid w:val="4A363E52"/>
    <w:rsid w:val="4A4451C6"/>
    <w:rsid w:val="4A4D56F1"/>
    <w:rsid w:val="4A802C31"/>
    <w:rsid w:val="4A852E26"/>
    <w:rsid w:val="4AB618EA"/>
    <w:rsid w:val="4AD04BD6"/>
    <w:rsid w:val="4B1B0A89"/>
    <w:rsid w:val="4B5052C0"/>
    <w:rsid w:val="4B5B37EE"/>
    <w:rsid w:val="4B6A5288"/>
    <w:rsid w:val="4B6F4749"/>
    <w:rsid w:val="4B9A7D7B"/>
    <w:rsid w:val="4BAA061A"/>
    <w:rsid w:val="4BCE5607"/>
    <w:rsid w:val="4BD15706"/>
    <w:rsid w:val="4BE32C7A"/>
    <w:rsid w:val="4C251A00"/>
    <w:rsid w:val="4C96414F"/>
    <w:rsid w:val="4C974CB8"/>
    <w:rsid w:val="4CFA1939"/>
    <w:rsid w:val="4CFD155C"/>
    <w:rsid w:val="4D0173BF"/>
    <w:rsid w:val="4D821C86"/>
    <w:rsid w:val="4D90360B"/>
    <w:rsid w:val="4D95643E"/>
    <w:rsid w:val="4D9D68AB"/>
    <w:rsid w:val="4DAA2741"/>
    <w:rsid w:val="4DD67C46"/>
    <w:rsid w:val="4DE678C1"/>
    <w:rsid w:val="4E0F59E6"/>
    <w:rsid w:val="4E2426C7"/>
    <w:rsid w:val="4E263FB1"/>
    <w:rsid w:val="4E3D2149"/>
    <w:rsid w:val="4E6B7454"/>
    <w:rsid w:val="4E752C48"/>
    <w:rsid w:val="4E8238FA"/>
    <w:rsid w:val="4E917F71"/>
    <w:rsid w:val="4EC13229"/>
    <w:rsid w:val="4ECC7E42"/>
    <w:rsid w:val="4EE46199"/>
    <w:rsid w:val="4F205756"/>
    <w:rsid w:val="4F403E6D"/>
    <w:rsid w:val="4F513035"/>
    <w:rsid w:val="4F5E514B"/>
    <w:rsid w:val="4F6E0FE5"/>
    <w:rsid w:val="4F9337F0"/>
    <w:rsid w:val="4F9363F8"/>
    <w:rsid w:val="4FAB6DF8"/>
    <w:rsid w:val="4FFE6123"/>
    <w:rsid w:val="50262499"/>
    <w:rsid w:val="503239EC"/>
    <w:rsid w:val="504F4F99"/>
    <w:rsid w:val="50543AC1"/>
    <w:rsid w:val="506812E1"/>
    <w:rsid w:val="50726A25"/>
    <w:rsid w:val="507518F7"/>
    <w:rsid w:val="507B56A0"/>
    <w:rsid w:val="508321AE"/>
    <w:rsid w:val="508A0696"/>
    <w:rsid w:val="50967E9F"/>
    <w:rsid w:val="50A17D0C"/>
    <w:rsid w:val="50A75500"/>
    <w:rsid w:val="50AF69DB"/>
    <w:rsid w:val="50C93B54"/>
    <w:rsid w:val="50C952A0"/>
    <w:rsid w:val="50E024C9"/>
    <w:rsid w:val="50F02329"/>
    <w:rsid w:val="514C50BD"/>
    <w:rsid w:val="514D2EA3"/>
    <w:rsid w:val="51527803"/>
    <w:rsid w:val="51813A62"/>
    <w:rsid w:val="51A54447"/>
    <w:rsid w:val="51BA53E6"/>
    <w:rsid w:val="51CB2893"/>
    <w:rsid w:val="51FD415E"/>
    <w:rsid w:val="52331B01"/>
    <w:rsid w:val="524F639C"/>
    <w:rsid w:val="52534234"/>
    <w:rsid w:val="525B505F"/>
    <w:rsid w:val="5267620E"/>
    <w:rsid w:val="528D1AAE"/>
    <w:rsid w:val="52B37557"/>
    <w:rsid w:val="52BD0422"/>
    <w:rsid w:val="52DF644D"/>
    <w:rsid w:val="52E43991"/>
    <w:rsid w:val="52F92C62"/>
    <w:rsid w:val="53125411"/>
    <w:rsid w:val="53434236"/>
    <w:rsid w:val="539D092B"/>
    <w:rsid w:val="53B52360"/>
    <w:rsid w:val="53CF244D"/>
    <w:rsid w:val="53E875A6"/>
    <w:rsid w:val="540A5590"/>
    <w:rsid w:val="540C32DA"/>
    <w:rsid w:val="542169E3"/>
    <w:rsid w:val="54332365"/>
    <w:rsid w:val="54485B35"/>
    <w:rsid w:val="5479646E"/>
    <w:rsid w:val="54824E2D"/>
    <w:rsid w:val="54A26A01"/>
    <w:rsid w:val="54BA2082"/>
    <w:rsid w:val="54CC7D8C"/>
    <w:rsid w:val="55FD42D6"/>
    <w:rsid w:val="560478C9"/>
    <w:rsid w:val="56415254"/>
    <w:rsid w:val="567A2966"/>
    <w:rsid w:val="56F022BF"/>
    <w:rsid w:val="56FB56CE"/>
    <w:rsid w:val="57054C16"/>
    <w:rsid w:val="57415119"/>
    <w:rsid w:val="5749230E"/>
    <w:rsid w:val="57572E65"/>
    <w:rsid w:val="57660C14"/>
    <w:rsid w:val="57A60F1E"/>
    <w:rsid w:val="57AC6F38"/>
    <w:rsid w:val="57D0553D"/>
    <w:rsid w:val="57DA388B"/>
    <w:rsid w:val="57E84847"/>
    <w:rsid w:val="582E0E2B"/>
    <w:rsid w:val="583E1906"/>
    <w:rsid w:val="584C43C9"/>
    <w:rsid w:val="58606914"/>
    <w:rsid w:val="586D01DF"/>
    <w:rsid w:val="58C92FC5"/>
    <w:rsid w:val="58D14B9D"/>
    <w:rsid w:val="59343D61"/>
    <w:rsid w:val="593B0FAE"/>
    <w:rsid w:val="59633DAE"/>
    <w:rsid w:val="596D7A74"/>
    <w:rsid w:val="59826A1F"/>
    <w:rsid w:val="59A75E22"/>
    <w:rsid w:val="59C06988"/>
    <w:rsid w:val="59C2006D"/>
    <w:rsid w:val="59C44EE4"/>
    <w:rsid w:val="59DA58E8"/>
    <w:rsid w:val="59FB308E"/>
    <w:rsid w:val="5A3E2CEC"/>
    <w:rsid w:val="5A426D37"/>
    <w:rsid w:val="5A5653EE"/>
    <w:rsid w:val="5A726410"/>
    <w:rsid w:val="5A7D688B"/>
    <w:rsid w:val="5A7F70E1"/>
    <w:rsid w:val="5A814696"/>
    <w:rsid w:val="5AAC49ED"/>
    <w:rsid w:val="5AB73A36"/>
    <w:rsid w:val="5B057423"/>
    <w:rsid w:val="5B24515C"/>
    <w:rsid w:val="5B4104C3"/>
    <w:rsid w:val="5B5C1E44"/>
    <w:rsid w:val="5B6B673F"/>
    <w:rsid w:val="5B6D086E"/>
    <w:rsid w:val="5B984D51"/>
    <w:rsid w:val="5BA84DA7"/>
    <w:rsid w:val="5BAA6DC2"/>
    <w:rsid w:val="5BF630D7"/>
    <w:rsid w:val="5C034600"/>
    <w:rsid w:val="5C237CF4"/>
    <w:rsid w:val="5C652DEB"/>
    <w:rsid w:val="5C703DD7"/>
    <w:rsid w:val="5C761CB7"/>
    <w:rsid w:val="5C7F51A8"/>
    <w:rsid w:val="5C826DDE"/>
    <w:rsid w:val="5C9F005F"/>
    <w:rsid w:val="5CC57B16"/>
    <w:rsid w:val="5CC85265"/>
    <w:rsid w:val="5CFD323D"/>
    <w:rsid w:val="5D6D0E0A"/>
    <w:rsid w:val="5D7E599A"/>
    <w:rsid w:val="5DAF665D"/>
    <w:rsid w:val="5DC22170"/>
    <w:rsid w:val="5E291616"/>
    <w:rsid w:val="5E4F724C"/>
    <w:rsid w:val="5E77294D"/>
    <w:rsid w:val="5E9B058D"/>
    <w:rsid w:val="5EF21EA7"/>
    <w:rsid w:val="5F294C8E"/>
    <w:rsid w:val="5F3453EC"/>
    <w:rsid w:val="5F381A7B"/>
    <w:rsid w:val="5F4014B7"/>
    <w:rsid w:val="5F42657D"/>
    <w:rsid w:val="5F5F53BC"/>
    <w:rsid w:val="5FB05CAE"/>
    <w:rsid w:val="5FC17B57"/>
    <w:rsid w:val="5FD25CF1"/>
    <w:rsid w:val="5FE568DD"/>
    <w:rsid w:val="5FF5085D"/>
    <w:rsid w:val="60060393"/>
    <w:rsid w:val="60252F39"/>
    <w:rsid w:val="60256E18"/>
    <w:rsid w:val="602B2C56"/>
    <w:rsid w:val="60557C1B"/>
    <w:rsid w:val="607A1279"/>
    <w:rsid w:val="60894155"/>
    <w:rsid w:val="60A800CB"/>
    <w:rsid w:val="60AD04D9"/>
    <w:rsid w:val="60E00EE0"/>
    <w:rsid w:val="60E977C5"/>
    <w:rsid w:val="60ED327E"/>
    <w:rsid w:val="60FD07B1"/>
    <w:rsid w:val="6102168E"/>
    <w:rsid w:val="61071104"/>
    <w:rsid w:val="611966EA"/>
    <w:rsid w:val="613966A9"/>
    <w:rsid w:val="614228AE"/>
    <w:rsid w:val="614C0ABD"/>
    <w:rsid w:val="61506725"/>
    <w:rsid w:val="61533A4A"/>
    <w:rsid w:val="618A7F39"/>
    <w:rsid w:val="619E07AB"/>
    <w:rsid w:val="619F593E"/>
    <w:rsid w:val="61BE13B4"/>
    <w:rsid w:val="61CB49EC"/>
    <w:rsid w:val="621959E5"/>
    <w:rsid w:val="624A1225"/>
    <w:rsid w:val="62687AED"/>
    <w:rsid w:val="62892E17"/>
    <w:rsid w:val="62AB2584"/>
    <w:rsid w:val="62B665B6"/>
    <w:rsid w:val="62C7055D"/>
    <w:rsid w:val="62CF416E"/>
    <w:rsid w:val="62D673CD"/>
    <w:rsid w:val="62EE3CBD"/>
    <w:rsid w:val="62F44961"/>
    <w:rsid w:val="633E6605"/>
    <w:rsid w:val="636130D9"/>
    <w:rsid w:val="636A72C1"/>
    <w:rsid w:val="638E770F"/>
    <w:rsid w:val="63A431CB"/>
    <w:rsid w:val="63A642C5"/>
    <w:rsid w:val="63AA64B5"/>
    <w:rsid w:val="63D76001"/>
    <w:rsid w:val="63E51964"/>
    <w:rsid w:val="64154087"/>
    <w:rsid w:val="644154F0"/>
    <w:rsid w:val="64A936A1"/>
    <w:rsid w:val="65353008"/>
    <w:rsid w:val="653D665D"/>
    <w:rsid w:val="654503F2"/>
    <w:rsid w:val="6555730D"/>
    <w:rsid w:val="655B642A"/>
    <w:rsid w:val="655C6AB0"/>
    <w:rsid w:val="65C818FB"/>
    <w:rsid w:val="65E968E4"/>
    <w:rsid w:val="660329A3"/>
    <w:rsid w:val="661506A5"/>
    <w:rsid w:val="661A13AC"/>
    <w:rsid w:val="661B0A65"/>
    <w:rsid w:val="66273583"/>
    <w:rsid w:val="66512F9F"/>
    <w:rsid w:val="665804EC"/>
    <w:rsid w:val="6687548B"/>
    <w:rsid w:val="668C1B4C"/>
    <w:rsid w:val="668E5B1C"/>
    <w:rsid w:val="66994753"/>
    <w:rsid w:val="66A64938"/>
    <w:rsid w:val="66DC7F6F"/>
    <w:rsid w:val="66F56065"/>
    <w:rsid w:val="66F93EDA"/>
    <w:rsid w:val="67007B9E"/>
    <w:rsid w:val="670A7175"/>
    <w:rsid w:val="6725653D"/>
    <w:rsid w:val="672946C1"/>
    <w:rsid w:val="67297732"/>
    <w:rsid w:val="675C664B"/>
    <w:rsid w:val="676D4B89"/>
    <w:rsid w:val="679216ED"/>
    <w:rsid w:val="67B53481"/>
    <w:rsid w:val="67DE642F"/>
    <w:rsid w:val="67F35DF6"/>
    <w:rsid w:val="680467AF"/>
    <w:rsid w:val="68171DEC"/>
    <w:rsid w:val="68806BA4"/>
    <w:rsid w:val="689A28D5"/>
    <w:rsid w:val="68D2260E"/>
    <w:rsid w:val="68DC1570"/>
    <w:rsid w:val="68EF7091"/>
    <w:rsid w:val="690879D4"/>
    <w:rsid w:val="69156453"/>
    <w:rsid w:val="6938137A"/>
    <w:rsid w:val="694E2B48"/>
    <w:rsid w:val="69683DCF"/>
    <w:rsid w:val="69865706"/>
    <w:rsid w:val="699D1E24"/>
    <w:rsid w:val="69A9667C"/>
    <w:rsid w:val="69AC76B8"/>
    <w:rsid w:val="69B665A4"/>
    <w:rsid w:val="69B8252C"/>
    <w:rsid w:val="69D67AEA"/>
    <w:rsid w:val="69DA0B81"/>
    <w:rsid w:val="69EC58D4"/>
    <w:rsid w:val="6A0E3CF4"/>
    <w:rsid w:val="6A2F33AA"/>
    <w:rsid w:val="6A6430C8"/>
    <w:rsid w:val="6A664E33"/>
    <w:rsid w:val="6AB64295"/>
    <w:rsid w:val="6AD124DD"/>
    <w:rsid w:val="6ADA17A9"/>
    <w:rsid w:val="6ADD72A6"/>
    <w:rsid w:val="6AEB7F0A"/>
    <w:rsid w:val="6AF051C1"/>
    <w:rsid w:val="6B122757"/>
    <w:rsid w:val="6B1F500F"/>
    <w:rsid w:val="6B8C2B76"/>
    <w:rsid w:val="6BAC296E"/>
    <w:rsid w:val="6BE84A19"/>
    <w:rsid w:val="6BEB6EAD"/>
    <w:rsid w:val="6BF71D88"/>
    <w:rsid w:val="6BF97200"/>
    <w:rsid w:val="6BFB4C62"/>
    <w:rsid w:val="6C172C69"/>
    <w:rsid w:val="6C25454E"/>
    <w:rsid w:val="6C4A0B03"/>
    <w:rsid w:val="6C6355FB"/>
    <w:rsid w:val="6C853518"/>
    <w:rsid w:val="6C9A5D89"/>
    <w:rsid w:val="6CF65D1C"/>
    <w:rsid w:val="6CFF5B8B"/>
    <w:rsid w:val="6D05729B"/>
    <w:rsid w:val="6D251BE8"/>
    <w:rsid w:val="6D38056F"/>
    <w:rsid w:val="6D863A6B"/>
    <w:rsid w:val="6D8F7C98"/>
    <w:rsid w:val="6DF26780"/>
    <w:rsid w:val="6DF568E4"/>
    <w:rsid w:val="6DFD0952"/>
    <w:rsid w:val="6E260FE6"/>
    <w:rsid w:val="6E372795"/>
    <w:rsid w:val="6E590A35"/>
    <w:rsid w:val="6E5F5AD2"/>
    <w:rsid w:val="6E6005BE"/>
    <w:rsid w:val="6E6E246D"/>
    <w:rsid w:val="6E7038BB"/>
    <w:rsid w:val="6E720135"/>
    <w:rsid w:val="6E8B7486"/>
    <w:rsid w:val="6EA1011B"/>
    <w:rsid w:val="6EA90946"/>
    <w:rsid w:val="6EB61EBC"/>
    <w:rsid w:val="6EDB3AC5"/>
    <w:rsid w:val="6EE06445"/>
    <w:rsid w:val="6EE8633A"/>
    <w:rsid w:val="6F031A36"/>
    <w:rsid w:val="6F307579"/>
    <w:rsid w:val="6F325252"/>
    <w:rsid w:val="6F595A35"/>
    <w:rsid w:val="6F8A7AEF"/>
    <w:rsid w:val="6FC46A94"/>
    <w:rsid w:val="6FF005EE"/>
    <w:rsid w:val="6FF14870"/>
    <w:rsid w:val="702622E9"/>
    <w:rsid w:val="702A082E"/>
    <w:rsid w:val="702A1568"/>
    <w:rsid w:val="705D1CD9"/>
    <w:rsid w:val="70603970"/>
    <w:rsid w:val="70744FB0"/>
    <w:rsid w:val="709A5041"/>
    <w:rsid w:val="70C20042"/>
    <w:rsid w:val="70E3118B"/>
    <w:rsid w:val="70F468E9"/>
    <w:rsid w:val="71043C71"/>
    <w:rsid w:val="71223ED3"/>
    <w:rsid w:val="71521B04"/>
    <w:rsid w:val="71587B0A"/>
    <w:rsid w:val="718B38BE"/>
    <w:rsid w:val="71B21D4D"/>
    <w:rsid w:val="71C51F33"/>
    <w:rsid w:val="71CD75E4"/>
    <w:rsid w:val="71D81758"/>
    <w:rsid w:val="71F55430"/>
    <w:rsid w:val="72002163"/>
    <w:rsid w:val="7213338A"/>
    <w:rsid w:val="722803D2"/>
    <w:rsid w:val="72311C0F"/>
    <w:rsid w:val="727D5491"/>
    <w:rsid w:val="72811C4E"/>
    <w:rsid w:val="72B558BE"/>
    <w:rsid w:val="72C66920"/>
    <w:rsid w:val="73755939"/>
    <w:rsid w:val="73777363"/>
    <w:rsid w:val="73A13F8B"/>
    <w:rsid w:val="73BC0E69"/>
    <w:rsid w:val="73D67A98"/>
    <w:rsid w:val="73E45ED9"/>
    <w:rsid w:val="73EE158A"/>
    <w:rsid w:val="743D591A"/>
    <w:rsid w:val="743E21B4"/>
    <w:rsid w:val="743E40D2"/>
    <w:rsid w:val="744050C4"/>
    <w:rsid w:val="74B13D77"/>
    <w:rsid w:val="74CE1490"/>
    <w:rsid w:val="74DB448B"/>
    <w:rsid w:val="74E225F0"/>
    <w:rsid w:val="7511646F"/>
    <w:rsid w:val="7511719B"/>
    <w:rsid w:val="753A77D4"/>
    <w:rsid w:val="756110C1"/>
    <w:rsid w:val="75727E0D"/>
    <w:rsid w:val="75937BFF"/>
    <w:rsid w:val="75C54492"/>
    <w:rsid w:val="75DD2BA2"/>
    <w:rsid w:val="75E81C02"/>
    <w:rsid w:val="75FF463E"/>
    <w:rsid w:val="763C100C"/>
    <w:rsid w:val="76606386"/>
    <w:rsid w:val="76751F92"/>
    <w:rsid w:val="76753A7A"/>
    <w:rsid w:val="767A6971"/>
    <w:rsid w:val="769E01C7"/>
    <w:rsid w:val="76A23D1B"/>
    <w:rsid w:val="76DD5F84"/>
    <w:rsid w:val="76E964E4"/>
    <w:rsid w:val="76EE388A"/>
    <w:rsid w:val="76F22CD6"/>
    <w:rsid w:val="76F96202"/>
    <w:rsid w:val="770B3FF7"/>
    <w:rsid w:val="772E34BD"/>
    <w:rsid w:val="775A1179"/>
    <w:rsid w:val="778940D5"/>
    <w:rsid w:val="779D4082"/>
    <w:rsid w:val="77D53C83"/>
    <w:rsid w:val="77D8799D"/>
    <w:rsid w:val="78077AA1"/>
    <w:rsid w:val="780A05BF"/>
    <w:rsid w:val="781B1E31"/>
    <w:rsid w:val="78435669"/>
    <w:rsid w:val="785842AF"/>
    <w:rsid w:val="785B4F49"/>
    <w:rsid w:val="78763A28"/>
    <w:rsid w:val="78A12986"/>
    <w:rsid w:val="790F7A12"/>
    <w:rsid w:val="79197096"/>
    <w:rsid w:val="791C43FD"/>
    <w:rsid w:val="7951452E"/>
    <w:rsid w:val="7966121C"/>
    <w:rsid w:val="79CB756B"/>
    <w:rsid w:val="79D675A2"/>
    <w:rsid w:val="79D9626B"/>
    <w:rsid w:val="79DC2754"/>
    <w:rsid w:val="79DE652D"/>
    <w:rsid w:val="79E62D7A"/>
    <w:rsid w:val="79F71156"/>
    <w:rsid w:val="7A4F2CB8"/>
    <w:rsid w:val="7A5228CC"/>
    <w:rsid w:val="7A526FA4"/>
    <w:rsid w:val="7A8E5B94"/>
    <w:rsid w:val="7A977733"/>
    <w:rsid w:val="7A9B43B9"/>
    <w:rsid w:val="7ABB10B9"/>
    <w:rsid w:val="7ABF429C"/>
    <w:rsid w:val="7AE77EF8"/>
    <w:rsid w:val="7B2B65FF"/>
    <w:rsid w:val="7BC1099D"/>
    <w:rsid w:val="7BFC6C3D"/>
    <w:rsid w:val="7C0F0C5A"/>
    <w:rsid w:val="7C0F7323"/>
    <w:rsid w:val="7C211E5E"/>
    <w:rsid w:val="7C463FDB"/>
    <w:rsid w:val="7C5B51EA"/>
    <w:rsid w:val="7C5C4F5D"/>
    <w:rsid w:val="7C5D21FE"/>
    <w:rsid w:val="7C9068CF"/>
    <w:rsid w:val="7CFE2893"/>
    <w:rsid w:val="7D0F00BC"/>
    <w:rsid w:val="7D341A79"/>
    <w:rsid w:val="7D5F1DB6"/>
    <w:rsid w:val="7D8F1CF9"/>
    <w:rsid w:val="7DAE4950"/>
    <w:rsid w:val="7DD6705F"/>
    <w:rsid w:val="7DF85238"/>
    <w:rsid w:val="7DF95A09"/>
    <w:rsid w:val="7E306020"/>
    <w:rsid w:val="7E6C56F0"/>
    <w:rsid w:val="7E811E93"/>
    <w:rsid w:val="7EAD56F7"/>
    <w:rsid w:val="7F227548"/>
    <w:rsid w:val="7F702B0F"/>
    <w:rsid w:val="7FAC4A5E"/>
    <w:rsid w:val="7FEC49D6"/>
    <w:rsid w:val="7FED0EF1"/>
    <w:rsid w:val="7FFB17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semiHidden="0" w:name="Default Paragraph Font"/>
    <w:lsdException w:qFormat="1" w:uiPriority="99" w:semiHidden="0" w:name="Body Text" w:locked="1"/>
    <w:lsdException w:qFormat="1"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ocked="1"/>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jc w:val="center"/>
      <w:outlineLvl w:val="0"/>
    </w:pPr>
    <w:rPr>
      <w:rFonts w:ascii="Calibri" w:hAnsi="Calibri"/>
      <w:b/>
      <w:bCs/>
      <w:kern w:val="44"/>
      <w:sz w:val="24"/>
      <w:szCs w:val="44"/>
    </w:rPr>
  </w:style>
  <w:style w:type="paragraph" w:styleId="5">
    <w:name w:val="heading 2"/>
    <w:basedOn w:val="1"/>
    <w:next w:val="1"/>
    <w:link w:val="29"/>
    <w:qFormat/>
    <w:uiPriority w:val="0"/>
    <w:pPr>
      <w:keepNext/>
      <w:keepLines/>
      <w:ind w:firstLine="0" w:firstLineChars="0"/>
      <w:outlineLvl w:val="1"/>
    </w:pPr>
    <w:rPr>
      <w:rFonts w:ascii="Cambria" w:hAnsi="Cambria"/>
      <w:b/>
      <w:bCs/>
      <w:szCs w:val="32"/>
    </w:rPr>
  </w:style>
  <w:style w:type="paragraph" w:styleId="6">
    <w:name w:val="heading 3"/>
    <w:basedOn w:val="1"/>
    <w:next w:val="1"/>
    <w:link w:val="30"/>
    <w:qFormat/>
    <w:uiPriority w:val="99"/>
    <w:pPr>
      <w:keepNext/>
      <w:keepLines/>
      <w:ind w:firstLine="0" w:firstLineChars="0"/>
      <w:outlineLvl w:val="2"/>
    </w:pPr>
    <w:rPr>
      <w:rFonts w:cs="宋体" w:asciiTheme="minorEastAsia" w:hAnsiTheme="minorEastAsia" w:eastAsiaTheme="minorEastAsia"/>
      <w:b/>
      <w:kern w:val="0"/>
      <w:szCs w:val="32"/>
    </w:rPr>
  </w:style>
  <w:style w:type="paragraph" w:styleId="7">
    <w:name w:val="heading 4"/>
    <w:basedOn w:val="1"/>
    <w:next w:val="1"/>
    <w:link w:val="31"/>
    <w:qFormat/>
    <w:uiPriority w:val="99"/>
    <w:pPr>
      <w:keepNext/>
      <w:keepLines/>
      <w:outlineLvl w:val="3"/>
    </w:pPr>
    <w:rPr>
      <w:rFonts w:ascii="Cambria" w:hAnsi="Cambria"/>
      <w:b/>
      <w:bCs/>
      <w:szCs w:val="28"/>
    </w:rPr>
  </w:style>
  <w:style w:type="character" w:default="1" w:styleId="21">
    <w:name w:val="Default Paragraph Font"/>
    <w:unhideWhenUsed/>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6"/>
    <w:unhideWhenUsed/>
    <w:qFormat/>
    <w:locked/>
    <w:uiPriority w:val="99"/>
    <w:pPr>
      <w:adjustRightInd/>
      <w:spacing w:after="120" w:line="240" w:lineRule="auto"/>
      <w:ind w:firstLine="420" w:firstLineChars="100"/>
      <w:jc w:val="both"/>
    </w:pPr>
    <w:rPr>
      <w:rFonts w:ascii="Times New Roman"/>
      <w:kern w:val="2"/>
      <w:sz w:val="21"/>
      <w:szCs w:val="24"/>
    </w:rPr>
  </w:style>
  <w:style w:type="paragraph" w:styleId="3">
    <w:name w:val="Body Text"/>
    <w:basedOn w:val="1"/>
    <w:unhideWhenUsed/>
    <w:qFormat/>
    <w:locked/>
    <w:uiPriority w:val="99"/>
    <w:pPr>
      <w:adjustRightInd w:val="0"/>
      <w:spacing w:line="315" w:lineRule="atLeast"/>
      <w:ind w:firstLine="0" w:firstLineChars="0"/>
      <w:jc w:val="left"/>
    </w:pPr>
    <w:rPr>
      <w:rFonts w:ascii="仿宋_GB2312" w:eastAsia="仿宋_GB2312"/>
      <w:kern w:val="0"/>
      <w:sz w:val="28"/>
      <w:szCs w:val="20"/>
    </w:rPr>
  </w:style>
  <w:style w:type="paragraph" w:styleId="8">
    <w:name w:val="annotation subject"/>
    <w:basedOn w:val="9"/>
    <w:next w:val="9"/>
    <w:link w:val="45"/>
    <w:qFormat/>
    <w:locked/>
    <w:uiPriority w:val="0"/>
    <w:rPr>
      <w:rFonts w:asciiTheme="minorHAnsi" w:hAnsiTheme="minorHAnsi" w:eastAsiaTheme="minorEastAsia" w:cstheme="minorBidi"/>
      <w:b/>
      <w:bCs/>
    </w:rPr>
  </w:style>
  <w:style w:type="paragraph" w:styleId="9">
    <w:name w:val="annotation text"/>
    <w:basedOn w:val="1"/>
    <w:link w:val="32"/>
    <w:qFormat/>
    <w:uiPriority w:val="0"/>
    <w:pPr>
      <w:spacing w:line="240" w:lineRule="auto"/>
      <w:ind w:firstLine="0" w:firstLineChars="0"/>
      <w:jc w:val="left"/>
    </w:pPr>
  </w:style>
  <w:style w:type="paragraph" w:styleId="10">
    <w:name w:val="Normal Indent"/>
    <w:basedOn w:val="1"/>
    <w:qFormat/>
    <w:locked/>
    <w:uiPriority w:val="0"/>
    <w:pPr>
      <w:ind w:firstLine="420"/>
    </w:pPr>
    <w:rPr>
      <w:sz w:val="30"/>
      <w:szCs w:val="30"/>
    </w:rPr>
  </w:style>
  <w:style w:type="paragraph" w:styleId="11">
    <w:name w:val="Document Map"/>
    <w:basedOn w:val="1"/>
    <w:link w:val="40"/>
    <w:semiHidden/>
    <w:qFormat/>
    <w:uiPriority w:val="99"/>
    <w:pPr>
      <w:shd w:val="clear" w:color="auto" w:fill="000080"/>
    </w:pPr>
  </w:style>
  <w:style w:type="paragraph" w:styleId="12">
    <w:name w:val="Body Text Indent"/>
    <w:basedOn w:val="1"/>
    <w:link w:val="42"/>
    <w:unhideWhenUsed/>
    <w:qFormat/>
    <w:locked/>
    <w:uiPriority w:val="0"/>
    <w:pPr>
      <w:spacing w:after="120"/>
      <w:ind w:left="420" w:leftChars="200"/>
    </w:pPr>
  </w:style>
  <w:style w:type="paragraph" w:styleId="13">
    <w:name w:val="Plain Text"/>
    <w:basedOn w:val="1"/>
    <w:link w:val="33"/>
    <w:qFormat/>
    <w:uiPriority w:val="0"/>
    <w:pPr>
      <w:spacing w:line="240" w:lineRule="auto"/>
      <w:ind w:firstLine="0" w:firstLineChars="0"/>
    </w:pPr>
    <w:rPr>
      <w:rFonts w:ascii="宋体" w:hAnsi="Courier New"/>
      <w:szCs w:val="20"/>
    </w:rPr>
  </w:style>
  <w:style w:type="paragraph" w:styleId="14">
    <w:name w:val="Balloon Text"/>
    <w:basedOn w:val="1"/>
    <w:link w:val="39"/>
    <w:qFormat/>
    <w:uiPriority w:val="0"/>
    <w:rPr>
      <w:sz w:val="18"/>
      <w:szCs w:val="18"/>
    </w:rPr>
  </w:style>
  <w:style w:type="paragraph" w:styleId="15">
    <w:name w:val="footer"/>
    <w:basedOn w:val="1"/>
    <w:link w:val="34"/>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35"/>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pPr>
      <w:tabs>
        <w:tab w:val="right" w:leader="dot" w:pos="8296"/>
      </w:tabs>
      <w:ind w:firstLine="0" w:firstLineChars="0"/>
    </w:pPr>
  </w:style>
  <w:style w:type="paragraph" w:styleId="18">
    <w:name w:val="Subtitle"/>
    <w:basedOn w:val="1"/>
    <w:next w:val="1"/>
    <w:link w:val="44"/>
    <w:qFormat/>
    <w:locked/>
    <w:uiPriority w:val="0"/>
    <w:pPr>
      <w:spacing w:before="240" w:after="60" w:line="312" w:lineRule="auto"/>
      <w:ind w:firstLine="0" w:firstLineChars="0"/>
      <w:jc w:val="center"/>
      <w:outlineLvl w:val="1"/>
    </w:pPr>
    <w:rPr>
      <w:rFonts w:ascii="等线 Light" w:hAnsi="等线 Light" w:eastAsiaTheme="minorEastAsia"/>
      <w:b/>
      <w:bCs/>
      <w:kern w:val="28"/>
      <w:sz w:val="32"/>
      <w:szCs w:val="32"/>
    </w:rPr>
  </w:style>
  <w:style w:type="paragraph" w:styleId="19">
    <w:name w:val="toc 2"/>
    <w:basedOn w:val="1"/>
    <w:next w:val="1"/>
    <w:qFormat/>
    <w:uiPriority w:val="39"/>
    <w:pPr>
      <w:tabs>
        <w:tab w:val="right" w:leader="dot" w:pos="8296"/>
      </w:tabs>
      <w:ind w:left="420" w:leftChars="200" w:firstLine="0" w:firstLineChars="0"/>
    </w:pPr>
  </w:style>
  <w:style w:type="paragraph" w:styleId="20">
    <w:name w:val="HTML Preformatted"/>
    <w:basedOn w:val="1"/>
    <w:link w:val="46"/>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s="宋体" w:eastAsiaTheme="minorEastAsia"/>
      <w:kern w:val="0"/>
      <w:sz w:val="24"/>
    </w:rPr>
  </w:style>
  <w:style w:type="character" w:styleId="22">
    <w:name w:val="Strong"/>
    <w:basedOn w:val="21"/>
    <w:qFormat/>
    <w:uiPriority w:val="99"/>
    <w:rPr>
      <w:rFonts w:cs="Times New Roman"/>
      <w:b/>
    </w:rPr>
  </w:style>
  <w:style w:type="character" w:styleId="23">
    <w:name w:val="page number"/>
    <w:basedOn w:val="21"/>
    <w:qFormat/>
    <w:locked/>
    <w:uiPriority w:val="0"/>
  </w:style>
  <w:style w:type="character" w:styleId="24">
    <w:name w:val="Hyperlink"/>
    <w:basedOn w:val="21"/>
    <w:qFormat/>
    <w:uiPriority w:val="99"/>
    <w:rPr>
      <w:rFonts w:cs="Times New Roman"/>
      <w:color w:val="0000FF"/>
      <w:u w:val="single"/>
    </w:rPr>
  </w:style>
  <w:style w:type="character" w:styleId="25">
    <w:name w:val="annotation reference"/>
    <w:basedOn w:val="21"/>
    <w:qFormat/>
    <w:uiPriority w:val="0"/>
    <w:rPr>
      <w:rFonts w:cs="Times New Roman"/>
      <w:sz w:val="21"/>
    </w:rPr>
  </w:style>
  <w:style w:type="table" w:styleId="27">
    <w:name w:val="Table Grid"/>
    <w:basedOn w:val="26"/>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1 Char"/>
    <w:basedOn w:val="21"/>
    <w:link w:val="4"/>
    <w:qFormat/>
    <w:locked/>
    <w:uiPriority w:val="0"/>
    <w:rPr>
      <w:rFonts w:cs="Times New Roman"/>
      <w:b/>
      <w:kern w:val="44"/>
      <w:sz w:val="44"/>
    </w:rPr>
  </w:style>
  <w:style w:type="character" w:customStyle="1" w:styleId="29">
    <w:name w:val="标题 2 Char"/>
    <w:basedOn w:val="21"/>
    <w:link w:val="5"/>
    <w:qFormat/>
    <w:locked/>
    <w:uiPriority w:val="0"/>
    <w:rPr>
      <w:rFonts w:ascii="Cambria" w:hAnsi="Cambria" w:eastAsia="宋体" w:cs="Times New Roman"/>
      <w:b/>
      <w:bCs/>
      <w:sz w:val="32"/>
      <w:szCs w:val="32"/>
    </w:rPr>
  </w:style>
  <w:style w:type="character" w:customStyle="1" w:styleId="30">
    <w:name w:val="标题 3 Char"/>
    <w:basedOn w:val="21"/>
    <w:link w:val="6"/>
    <w:qFormat/>
    <w:locked/>
    <w:uiPriority w:val="0"/>
    <w:rPr>
      <w:rFonts w:cs="宋体" w:asciiTheme="minorEastAsia" w:hAnsiTheme="minorEastAsia" w:eastAsiaTheme="minorEastAsia"/>
      <w:b/>
      <w:sz w:val="21"/>
      <w:szCs w:val="32"/>
    </w:rPr>
  </w:style>
  <w:style w:type="character" w:customStyle="1" w:styleId="31">
    <w:name w:val="标题 4 Char"/>
    <w:basedOn w:val="21"/>
    <w:link w:val="7"/>
    <w:semiHidden/>
    <w:qFormat/>
    <w:locked/>
    <w:uiPriority w:val="99"/>
    <w:rPr>
      <w:rFonts w:ascii="Cambria" w:hAnsi="Cambria" w:eastAsia="宋体" w:cs="Times New Roman"/>
      <w:b/>
      <w:bCs/>
      <w:sz w:val="28"/>
      <w:szCs w:val="28"/>
    </w:rPr>
  </w:style>
  <w:style w:type="character" w:customStyle="1" w:styleId="32">
    <w:name w:val="批注文字 Char"/>
    <w:basedOn w:val="21"/>
    <w:link w:val="9"/>
    <w:qFormat/>
    <w:locked/>
    <w:uiPriority w:val="0"/>
    <w:rPr>
      <w:rFonts w:ascii="Times New Roman" w:hAnsi="Times New Roman" w:cs="Times New Roman"/>
      <w:sz w:val="24"/>
      <w:szCs w:val="24"/>
    </w:rPr>
  </w:style>
  <w:style w:type="character" w:customStyle="1" w:styleId="33">
    <w:name w:val="纯文本 Char"/>
    <w:basedOn w:val="21"/>
    <w:link w:val="13"/>
    <w:qFormat/>
    <w:locked/>
    <w:uiPriority w:val="0"/>
    <w:rPr>
      <w:rFonts w:ascii="宋体" w:hAnsi="Courier New" w:cs="Courier New"/>
      <w:sz w:val="21"/>
      <w:szCs w:val="21"/>
    </w:rPr>
  </w:style>
  <w:style w:type="character" w:customStyle="1" w:styleId="34">
    <w:name w:val="页脚 Char"/>
    <w:basedOn w:val="21"/>
    <w:link w:val="15"/>
    <w:qFormat/>
    <w:locked/>
    <w:uiPriority w:val="99"/>
    <w:rPr>
      <w:rFonts w:ascii="Times New Roman" w:hAnsi="Times New Roman" w:cs="Times New Roman"/>
      <w:sz w:val="18"/>
      <w:szCs w:val="18"/>
    </w:rPr>
  </w:style>
  <w:style w:type="character" w:customStyle="1" w:styleId="35">
    <w:name w:val="页眉 Char"/>
    <w:basedOn w:val="21"/>
    <w:link w:val="16"/>
    <w:qFormat/>
    <w:locked/>
    <w:uiPriority w:val="99"/>
    <w:rPr>
      <w:rFonts w:ascii="Times New Roman" w:hAnsi="Times New Roman" w:cs="Times New Roman"/>
      <w:sz w:val="18"/>
      <w:szCs w:val="18"/>
    </w:rPr>
  </w:style>
  <w:style w:type="paragraph" w:customStyle="1" w:styleId="36">
    <w:name w:val="TOC 标题1"/>
    <w:basedOn w:val="5"/>
    <w:next w:val="1"/>
    <w:qFormat/>
    <w:uiPriority w:val="99"/>
    <w:pPr>
      <w:widowControl/>
      <w:spacing w:line="240" w:lineRule="auto"/>
      <w:jc w:val="left"/>
      <w:outlineLvl w:val="9"/>
    </w:pPr>
    <w:rPr>
      <w:kern w:val="0"/>
      <w:szCs w:val="28"/>
    </w:rPr>
  </w:style>
  <w:style w:type="paragraph" w:styleId="37">
    <w:name w:val="No Spacing"/>
    <w:link w:val="57"/>
    <w:qFormat/>
    <w:uiPriority w:val="1"/>
    <w:pPr>
      <w:widowControl w:val="0"/>
      <w:jc w:val="both"/>
    </w:pPr>
    <w:rPr>
      <w:rFonts w:ascii="Calibri" w:hAnsi="Calibri" w:eastAsia="宋体" w:cs="Calibri"/>
      <w:kern w:val="2"/>
      <w:sz w:val="21"/>
      <w:szCs w:val="22"/>
      <w:lang w:val="en-US" w:eastAsia="zh-CN" w:bidi="ar-SA"/>
    </w:rPr>
  </w:style>
  <w:style w:type="paragraph" w:customStyle="1" w:styleId="38">
    <w:name w:val="Char"/>
    <w:basedOn w:val="1"/>
    <w:qFormat/>
    <w:uiPriority w:val="99"/>
    <w:pPr>
      <w:spacing w:line="240" w:lineRule="auto"/>
      <w:ind w:firstLine="0" w:firstLineChars="0"/>
    </w:pPr>
    <w:rPr>
      <w:rFonts w:ascii="仿宋_GB2312" w:eastAsia="仿宋_GB2312"/>
      <w:b/>
      <w:sz w:val="32"/>
      <w:szCs w:val="32"/>
    </w:rPr>
  </w:style>
  <w:style w:type="character" w:customStyle="1" w:styleId="39">
    <w:name w:val="批注框文本 Char"/>
    <w:basedOn w:val="21"/>
    <w:link w:val="14"/>
    <w:qFormat/>
    <w:locked/>
    <w:uiPriority w:val="0"/>
    <w:rPr>
      <w:rFonts w:ascii="Times New Roman" w:hAnsi="Times New Roman" w:cs="Times New Roman"/>
      <w:sz w:val="2"/>
    </w:rPr>
  </w:style>
  <w:style w:type="character" w:customStyle="1" w:styleId="40">
    <w:name w:val="文档结构图 Char"/>
    <w:basedOn w:val="21"/>
    <w:link w:val="11"/>
    <w:semiHidden/>
    <w:qFormat/>
    <w:locked/>
    <w:uiPriority w:val="99"/>
    <w:rPr>
      <w:rFonts w:ascii="Times New Roman" w:hAnsi="Times New Roman" w:cs="Times New Roman"/>
      <w:sz w:val="2"/>
    </w:rPr>
  </w:style>
  <w:style w:type="paragraph" w:customStyle="1" w:styleId="41">
    <w:name w:val="标题3"/>
    <w:basedOn w:val="6"/>
    <w:qFormat/>
    <w:uiPriority w:val="0"/>
  </w:style>
  <w:style w:type="character" w:customStyle="1" w:styleId="42">
    <w:name w:val="正文文本缩进 Char"/>
    <w:basedOn w:val="21"/>
    <w:link w:val="12"/>
    <w:qFormat/>
    <w:uiPriority w:val="0"/>
    <w:rPr>
      <w:rFonts w:ascii="Times New Roman" w:hAnsi="Times New Roman" w:eastAsia="宋体" w:cs="Times New Roman"/>
      <w:kern w:val="2"/>
      <w:sz w:val="21"/>
      <w:szCs w:val="24"/>
    </w:rPr>
  </w:style>
  <w:style w:type="paragraph" w:customStyle="1" w:styleId="43">
    <w:name w:val="TOC 标题2"/>
    <w:basedOn w:val="4"/>
    <w:next w:val="1"/>
    <w:unhideWhenUsed/>
    <w:qFormat/>
    <w:uiPriority w:val="39"/>
    <w:pPr>
      <w:spacing w:before="340" w:after="330" w:line="578" w:lineRule="auto"/>
      <w:jc w:val="both"/>
      <w:outlineLvl w:val="9"/>
    </w:pPr>
    <w:rPr>
      <w:rFonts w:ascii="Times New Roman" w:hAnsi="Times New Roman"/>
      <w:sz w:val="44"/>
    </w:rPr>
  </w:style>
  <w:style w:type="character" w:customStyle="1" w:styleId="44">
    <w:name w:val="副标题 Char"/>
    <w:link w:val="18"/>
    <w:qFormat/>
    <w:uiPriority w:val="0"/>
    <w:rPr>
      <w:rFonts w:ascii="等线 Light" w:hAnsi="等线 Light" w:cs="Times New Roman"/>
      <w:b/>
      <w:bCs/>
      <w:kern w:val="28"/>
      <w:sz w:val="32"/>
      <w:szCs w:val="32"/>
    </w:rPr>
  </w:style>
  <w:style w:type="character" w:customStyle="1" w:styleId="45">
    <w:name w:val="批注主题 Char"/>
    <w:link w:val="8"/>
    <w:qFormat/>
    <w:uiPriority w:val="0"/>
    <w:rPr>
      <w:b/>
      <w:bCs/>
      <w:kern w:val="2"/>
      <w:sz w:val="21"/>
      <w:szCs w:val="24"/>
    </w:rPr>
  </w:style>
  <w:style w:type="character" w:customStyle="1" w:styleId="46">
    <w:name w:val="HTML 预设格式 Char"/>
    <w:link w:val="20"/>
    <w:qFormat/>
    <w:uiPriority w:val="0"/>
    <w:rPr>
      <w:rFonts w:ascii="宋体" w:hAnsi="宋体" w:cs="宋体"/>
      <w:sz w:val="24"/>
      <w:szCs w:val="24"/>
    </w:rPr>
  </w:style>
  <w:style w:type="character" w:customStyle="1" w:styleId="47">
    <w:name w:val="批注主题 字符1"/>
    <w:basedOn w:val="32"/>
    <w:semiHidden/>
    <w:qFormat/>
    <w:uiPriority w:val="99"/>
    <w:rPr>
      <w:rFonts w:ascii="Times New Roman" w:hAnsi="Times New Roman" w:eastAsia="宋体" w:cs="Times New Roman"/>
      <w:b/>
      <w:bCs/>
      <w:kern w:val="2"/>
      <w:sz w:val="21"/>
      <w:szCs w:val="24"/>
    </w:rPr>
  </w:style>
  <w:style w:type="character" w:customStyle="1" w:styleId="48">
    <w:name w:val="副标题 字符1"/>
    <w:basedOn w:val="21"/>
    <w:qFormat/>
    <w:uiPriority w:val="11"/>
    <w:rPr>
      <w:b/>
      <w:bCs/>
      <w:kern w:val="28"/>
      <w:sz w:val="32"/>
      <w:szCs w:val="32"/>
    </w:rPr>
  </w:style>
  <w:style w:type="character" w:customStyle="1" w:styleId="49">
    <w:name w:val="HTML 预设格式 字符1"/>
    <w:basedOn w:val="21"/>
    <w:semiHidden/>
    <w:qFormat/>
    <w:uiPriority w:val="99"/>
    <w:rPr>
      <w:rFonts w:ascii="Courier New" w:hAnsi="Courier New" w:eastAsia="宋体" w:cs="Courier New"/>
      <w:kern w:val="2"/>
    </w:rPr>
  </w:style>
  <w:style w:type="paragraph" w:styleId="50">
    <w:name w:val="List Paragraph"/>
    <w:basedOn w:val="1"/>
    <w:qFormat/>
    <w:uiPriority w:val="99"/>
    <w:pPr>
      <w:spacing w:line="240" w:lineRule="auto"/>
      <w:ind w:firstLine="420"/>
    </w:pPr>
  </w:style>
  <w:style w:type="paragraph" w:customStyle="1" w:styleId="51">
    <w:name w:val="Char2 Char Char"/>
    <w:basedOn w:val="1"/>
    <w:qFormat/>
    <w:uiPriority w:val="0"/>
    <w:pPr>
      <w:spacing w:line="240" w:lineRule="auto"/>
      <w:ind w:firstLine="0" w:firstLineChars="0"/>
    </w:pPr>
    <w:rPr>
      <w:rFonts w:ascii="Tahoma" w:hAnsi="Tahoma"/>
      <w:sz w:val="24"/>
      <w:szCs w:val="20"/>
    </w:rPr>
  </w:style>
  <w:style w:type="paragraph" w:customStyle="1" w:styleId="52">
    <w:name w:val="正文2"/>
    <w:basedOn w:val="1"/>
    <w:qFormat/>
    <w:uiPriority w:val="0"/>
    <w:pPr>
      <w:spacing w:before="156"/>
      <w:ind w:firstLine="510"/>
    </w:pPr>
    <w:rPr>
      <w:sz w:val="24"/>
      <w:szCs w:val="20"/>
    </w:rPr>
  </w:style>
  <w:style w:type="paragraph" w:customStyle="1" w:styleId="53">
    <w:name w:val="Char1"/>
    <w:basedOn w:val="1"/>
    <w:qFormat/>
    <w:uiPriority w:val="0"/>
    <w:pPr>
      <w:spacing w:line="240" w:lineRule="auto"/>
      <w:ind w:firstLine="0" w:firstLineChars="0"/>
    </w:pPr>
    <w:rPr>
      <w:rFonts w:ascii="仿宋_GB2312" w:eastAsia="仿宋_GB2312"/>
      <w:b/>
      <w:sz w:val="32"/>
      <w:szCs w:val="32"/>
    </w:rPr>
  </w:style>
  <w:style w:type="paragraph" w:customStyle="1" w:styleId="5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DAS正文"/>
    <w:basedOn w:val="1"/>
    <w:qFormat/>
    <w:uiPriority w:val="0"/>
    <w:pPr>
      <w:ind w:right="181" w:firstLine="480"/>
    </w:pPr>
    <w:rPr>
      <w:rFonts w:ascii="Verdana" w:hAnsi="Verdana"/>
      <w:sz w:val="24"/>
    </w:rPr>
  </w:style>
  <w:style w:type="character" w:customStyle="1" w:styleId="56">
    <w:name w:val="正文首行缩进 Char"/>
    <w:basedOn w:val="21"/>
    <w:link w:val="2"/>
    <w:qFormat/>
    <w:uiPriority w:val="99"/>
    <w:rPr>
      <w:rFonts w:eastAsia="仿宋_GB2312"/>
      <w:kern w:val="2"/>
      <w:sz w:val="21"/>
      <w:szCs w:val="24"/>
    </w:rPr>
  </w:style>
  <w:style w:type="character" w:customStyle="1" w:styleId="57">
    <w:name w:val="无间隔 Char"/>
    <w:link w:val="37"/>
    <w:qFormat/>
    <w:locked/>
    <w:uiPriority w:val="1"/>
    <w:rPr>
      <w:rFonts w:ascii="Calibri" w:hAnsi="Calibri" w:cs="Calibri"/>
      <w:kern w:val="2"/>
      <w:sz w:val="21"/>
      <w:szCs w:val="22"/>
    </w:rPr>
  </w:style>
  <w:style w:type="paragraph" w:customStyle="1" w:styleId="58">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59">
    <w:name w:val="font01"/>
    <w:basedOn w:val="21"/>
    <w:qFormat/>
    <w:uiPriority w:val="0"/>
    <w:rPr>
      <w:rFonts w:hint="eastAsia" w:ascii="宋体" w:hAnsi="宋体" w:eastAsia="宋体" w:cs="宋体"/>
      <w:color w:val="000000"/>
      <w:sz w:val="22"/>
      <w:szCs w:val="22"/>
      <w:u w:val="none"/>
    </w:rPr>
  </w:style>
  <w:style w:type="paragraph" w:customStyle="1" w:styleId="60">
    <w:name w:val="AbsatzTableFormat"/>
    <w:basedOn w:val="1"/>
    <w:qFormat/>
    <w:uiPriority w:val="0"/>
    <w:pPr>
      <w:widowControl/>
      <w:jc w:val="left"/>
    </w:pPr>
    <w:rPr>
      <w:rFonts w:ascii="Arial Narrow" w:hAnsi="Arial Narrow"/>
      <w:bCs/>
      <w:kern w:val="0"/>
      <w:sz w:val="22"/>
      <w:szCs w:val="21"/>
      <w:lang w:val="de-DE"/>
    </w:rPr>
  </w:style>
  <w:style w:type="character" w:customStyle="1" w:styleId="61">
    <w:name w:val="Anrede1IhrZeichen"/>
    <w:qFormat/>
    <w:uiPriority w:val="0"/>
    <w:rPr>
      <w:rFonts w:hint="default" w:ascii="Arial" w:hAnsi="Arial"/>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A4F65-9DA1-4C0A-9F71-B9D990F69608}">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5837</Words>
  <Characters>33275</Characters>
  <Lines>277</Lines>
  <Paragraphs>78</Paragraphs>
  <TotalTime>15</TotalTime>
  <ScaleCrop>false</ScaleCrop>
  <LinksUpToDate>false</LinksUpToDate>
  <CharactersWithSpaces>39034</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2019-05-12T15:09:00Z</dcterms:created>
  <dc:creator>Administrator</dc:creator>
  <cp:lastModifiedBy>Administrator</cp:lastModifiedBy>
  <cp:lastPrinted>2019-08-02T08:52:00Z</cp:lastPrinted>
  <dcterms:modified xsi:type="dcterms:W3CDTF">2019-08-30T08:43:16Z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