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浙江康复医院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消毒供应设备及生物安全柜</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消毒供应设备及生物安全柜</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浙财采确【2019】37381号，37417号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ZJXL-MZKF-201904</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浙江康复医院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九</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_Toc18377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_Toc18377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_Toc22910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_Toc22910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_Toc1826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_Toc1826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_Toc20023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_Toc20023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_Toc13672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_Toc13672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_Toc1336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_Toc1336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_Toc5519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_Toc5519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_Toc30055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_Toc30055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_Toc12983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_Toc12983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_Toc30189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采购项目技术规范和服务要求</w:t>
      </w:r>
      <w:r>
        <w:tab/>
      </w:r>
      <w:r>
        <w:fldChar w:fldCharType="begin"/>
      </w:r>
      <w:r>
        <w:instrText xml:space="preserve"> PAGEREF _Toc30189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_Toc17867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1项目背景和介绍</w:t>
      </w:r>
      <w:r>
        <w:tab/>
      </w:r>
      <w:r>
        <w:fldChar w:fldCharType="begin"/>
      </w:r>
      <w:r>
        <w:instrText xml:space="preserve"> PAGEREF _Toc17867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_Toc10470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技术规范和服务要求</w:t>
      </w:r>
      <w:r>
        <w:tab/>
      </w:r>
      <w:r>
        <w:fldChar w:fldCharType="begin"/>
      </w:r>
      <w:r>
        <w:instrText xml:space="preserve"> PAGEREF _Toc10470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_Toc27106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本项目核心产品</w:t>
      </w:r>
      <w:r>
        <w:tab/>
      </w:r>
      <w:r>
        <w:fldChar w:fldCharType="begin"/>
      </w:r>
      <w:r>
        <w:instrText xml:space="preserve"> PAGEREF _Toc27106 </w:instrText>
      </w:r>
      <w:r>
        <w:fldChar w:fldCharType="separate"/>
      </w:r>
      <w:r>
        <w:t>32</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_Toc179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强制采购</w:t>
      </w:r>
      <w:r>
        <w:tab/>
      </w:r>
      <w:r>
        <w:fldChar w:fldCharType="begin"/>
      </w:r>
      <w:r>
        <w:instrText xml:space="preserve"> PAGEREF _Toc179 </w:instrText>
      </w:r>
      <w:r>
        <w:fldChar w:fldCharType="separate"/>
      </w:r>
      <w:r>
        <w:t>32</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_Toc9441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_Toc9441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_Toc23714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1交货期</w:t>
      </w:r>
      <w:r>
        <w:tab/>
      </w:r>
      <w:r>
        <w:fldChar w:fldCharType="begin"/>
      </w:r>
      <w:r>
        <w:instrText xml:space="preserve"> PAGEREF _Toc23714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_Toc28144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2交货地址</w:t>
      </w:r>
      <w:r>
        <w:tab/>
      </w:r>
      <w:r>
        <w:fldChar w:fldCharType="begin"/>
      </w:r>
      <w:r>
        <w:instrText xml:space="preserve"> PAGEREF _Toc28144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3保存和运输要求</w:t>
      </w:r>
      <w:r>
        <w:tab/>
      </w:r>
      <w:r>
        <w:fldChar w:fldCharType="begin"/>
      </w:r>
      <w:r>
        <w:instrText xml:space="preserve"> PAGEREF _Toc24581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_Toc26807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4安装和调试</w:t>
      </w:r>
      <w:r>
        <w:tab/>
      </w:r>
      <w:r>
        <w:fldChar w:fldCharType="begin"/>
      </w:r>
      <w:r>
        <w:instrText xml:space="preserve"> PAGEREF _Toc26807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_Toc32508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5验收标准</w:t>
      </w:r>
      <w:r>
        <w:tab/>
      </w:r>
      <w:r>
        <w:fldChar w:fldCharType="begin"/>
      </w:r>
      <w:r>
        <w:instrText xml:space="preserve"> PAGEREF _Toc32508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_Toc908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6质保期</w:t>
      </w:r>
      <w:r>
        <w:tab/>
      </w:r>
      <w:r>
        <w:fldChar w:fldCharType="begin"/>
      </w:r>
      <w:r>
        <w:instrText xml:space="preserve"> PAGEREF _Toc908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_Toc22130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7履约保证金</w:t>
      </w:r>
      <w:r>
        <w:tab/>
      </w:r>
      <w:r>
        <w:fldChar w:fldCharType="begin"/>
      </w:r>
      <w:r>
        <w:instrText xml:space="preserve"> PAGEREF _Toc22130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_Toc20766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8付款方式</w:t>
      </w:r>
      <w:r>
        <w:tab/>
      </w:r>
      <w:r>
        <w:fldChar w:fldCharType="begin"/>
      </w:r>
      <w:r>
        <w:instrText xml:space="preserve"> PAGEREF _Toc20766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_Toc26633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9售后服务</w:t>
      </w:r>
      <w:r>
        <w:tab/>
      </w:r>
      <w:r>
        <w:fldChar w:fldCharType="begin"/>
      </w:r>
      <w:r>
        <w:instrText xml:space="preserve"> PAGEREF _Toc26633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_Toc27026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10合同履行</w:t>
      </w:r>
      <w:r>
        <w:tab/>
      </w:r>
      <w:r>
        <w:fldChar w:fldCharType="begin"/>
      </w:r>
      <w:r>
        <w:instrText xml:space="preserve"> PAGEREF _Toc27026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_Toc26892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_Toc26892 </w:instrText>
      </w:r>
      <w:r>
        <w:fldChar w:fldCharType="separate"/>
      </w:r>
      <w:r>
        <w:t>35</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_Toc6543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_Toc6543 </w:instrText>
      </w:r>
      <w:r>
        <w:fldChar w:fldCharType="separate"/>
      </w:r>
      <w:r>
        <w:t>35</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_Toc2467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_Toc2467 </w:instrText>
      </w:r>
      <w:r>
        <w:fldChar w:fldCharType="separate"/>
      </w:r>
      <w:r>
        <w:t>40</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_Toc18750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_Toc18750 </w:instrText>
      </w:r>
      <w:r>
        <w:fldChar w:fldCharType="separate"/>
      </w:r>
      <w:r>
        <w:t>40</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_Toc23766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_Toc23766 </w:instrText>
      </w:r>
      <w:r>
        <w:fldChar w:fldCharType="separate"/>
      </w:r>
      <w:r>
        <w:t>40</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_Toc25860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_Toc25860 </w:instrText>
      </w:r>
      <w:r>
        <w:fldChar w:fldCharType="separate"/>
      </w:r>
      <w:r>
        <w:t>42</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_Toc14080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_Toc14080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_Toc22527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_Toc22527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_Toc18810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_Toc18810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_Toc31767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_Toc31767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_Toc457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_Toc16390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_Toc16390 </w:instrText>
      </w:r>
      <w:r>
        <w:fldChar w:fldCharType="separate"/>
      </w:r>
      <w:r>
        <w:t>63</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_Toc24449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_Toc24449 </w:instrText>
      </w:r>
      <w:r>
        <w:fldChar w:fldCharType="separate"/>
      </w:r>
      <w:r>
        <w:t>66</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浙江康复医院消毒供应设备及生物安全柜</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18377"/>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消毒供应设备及生物安全柜</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ZJXL-MZKF-201904</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1"/>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消毒供应设备及生物安全柜（进口）</w:t>
            </w:r>
          </w:p>
        </w:tc>
        <w:tc>
          <w:tcPr>
            <w:tcW w:w="851"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850"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455</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455</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消毒供应设备及生物安全柜</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为采购项目提供整体设计、规范编制或者项目管理、监理、检测等服务的投标人，不得再参加该采购项目投标。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ascii="仿宋" w:hAnsi="仿宋" w:cs="Arial"/>
          <w:b w:val="0"/>
          <w:bCs w:val="0"/>
          <w:color w:val="auto"/>
          <w:sz w:val="21"/>
          <w:szCs w:val="21"/>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1.报名/发售时间：2019年</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 xml:space="preserve"> 日至2019年</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22</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6"/>
          <w:rFonts w:hint="eastAsia" w:cs="宋体" w:asciiTheme="minorEastAsia" w:hAnsiTheme="minorEastAsia" w:eastAsiaTheme="minorEastAsia"/>
          <w:color w:val="auto"/>
          <w:szCs w:val="21"/>
        </w:rPr>
        <w:t>ZJXL</w:t>
      </w:r>
      <w:r>
        <w:rPr>
          <w:rStyle w:val="26"/>
          <w:rFonts w:cs="宋体" w:asciiTheme="minorEastAsia" w:hAnsiTheme="minorEastAsia" w:eastAsiaTheme="minorEastAsia"/>
          <w:color w:val="auto"/>
          <w:szCs w:val="21"/>
        </w:rPr>
        <w:t>85024997</w:t>
      </w:r>
      <w:r>
        <w:rPr>
          <w:rStyle w:val="26"/>
          <w:rFonts w:hint="eastAsia" w:cs="宋体" w:asciiTheme="minorEastAsia" w:hAnsiTheme="minorEastAsia" w:eastAsiaTheme="minorEastAsia"/>
          <w:color w:val="auto"/>
          <w:szCs w:val="21"/>
        </w:rPr>
        <w:t>@1</w:t>
      </w:r>
      <w:r>
        <w:rPr>
          <w:rStyle w:val="26"/>
          <w:rFonts w:cs="宋体" w:asciiTheme="minorEastAsia" w:hAnsiTheme="minorEastAsia" w:eastAsiaTheme="minorEastAsia"/>
          <w:color w:val="auto"/>
          <w:szCs w:val="21"/>
        </w:rPr>
        <w:t>63</w:t>
      </w:r>
      <w:r>
        <w:rPr>
          <w:rStyle w:val="26"/>
          <w:rFonts w:hint="eastAsia" w:cs="宋体" w:asciiTheme="minorEastAsia" w:hAnsiTheme="minorEastAsia" w:eastAsiaTheme="minorEastAsia"/>
          <w:color w:val="auto"/>
          <w:szCs w:val="21"/>
        </w:rPr>
        <w:t>.com</w:t>
      </w:r>
      <w:r>
        <w:rPr>
          <w:rStyle w:val="26"/>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2019年</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2019年</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根据财政部和生态环境部（财库〔2019〕18号）《环境标志产品政府采购品目清单》、财政部和国家发展改革委员会（财库〔2019〕19号）《节能产品政府采购品目清单》，凡提供的产品主体有环境标志产品认证证书或节能产品认证证书的，享技术分加分，具体详见评分细则。属于《节能产品政府采购品目清单》中政府强制采购产品的，投标人必须提供符合要求的产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3</w:t>
      </w:r>
      <w:r>
        <w:rPr>
          <w:rFonts w:hint="eastAsia" w:asciiTheme="minorEastAsia" w:hAnsiTheme="minorEastAsia" w:eastAsiaTheme="minorEastAsia"/>
          <w:color w:val="auto"/>
        </w:rPr>
        <w:t>）经政府采购管理部门批准，本项目可采购进口产品，同时允许国产产品前来投标。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836"/>
      <w:bookmarkStart w:id="15" w:name="_Toc10659"/>
      <w:bookmarkStart w:id="16" w:name="_Toc504485732"/>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（磋商文件费、发票）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ind w:firstLine="42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kern w:val="0"/>
          <w:szCs w:val="21"/>
        </w:rPr>
        <w:t>2.采购人：</w:t>
      </w:r>
      <w:r>
        <w:rPr>
          <w:rFonts w:hint="eastAsia" w:cs="宋体" w:asciiTheme="minorEastAsia" w:hAnsiTheme="minorEastAsia" w:eastAsiaTheme="minorEastAsia"/>
          <w:color w:val="auto"/>
          <w:szCs w:val="21"/>
          <w:lang w:eastAsia="zh-CN"/>
        </w:rPr>
        <w:t>浙江康复医院</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夏</w:t>
      </w:r>
      <w:r>
        <w:rPr>
          <w:rFonts w:hint="eastAsia" w:cs="宋体" w:asciiTheme="minorEastAsia" w:hAnsiTheme="minorEastAsia" w:eastAsiaTheme="minorEastAsia"/>
          <w:color w:val="auto"/>
          <w:szCs w:val="21"/>
        </w:rPr>
        <w:t>老师</w:t>
      </w:r>
    </w:p>
    <w:p>
      <w:pPr>
        <w:ind w:firstLine="630" w:firstLineChars="300"/>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联系电话：</w:t>
      </w:r>
      <w:r>
        <w:rPr>
          <w:rFonts w:hint="eastAsia" w:cs="宋体" w:asciiTheme="minorEastAsia" w:hAnsiTheme="minorEastAsia" w:eastAsiaTheme="minorEastAsia"/>
          <w:color w:val="auto"/>
          <w:kern w:val="0"/>
          <w:szCs w:val="21"/>
          <w:lang w:val="en-US" w:eastAsia="zh-CN"/>
        </w:rPr>
        <w:t>0571-86439865</w:t>
      </w:r>
    </w:p>
    <w:p>
      <w:pPr>
        <w:ind w:firstLine="630" w:firstLineChars="300"/>
        <w:rPr>
          <w:rFonts w:hint="eastAsia" w:ascii="宋体" w:hAnsi="宋体"/>
          <w:color w:val="auto"/>
          <w:kern w:val="0"/>
        </w:rPr>
      </w:pPr>
      <w:r>
        <w:rPr>
          <w:rFonts w:hint="eastAsia" w:ascii="宋体" w:hAnsi="宋体"/>
          <w:color w:val="auto"/>
          <w:kern w:val="0"/>
        </w:rPr>
        <w:t>地址：浙江省杭州市江干区观音塘路103号</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22910"/>
      <w:bookmarkStart w:id="18" w:name="_Toc6227644"/>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826"/>
      <w:r>
        <w:rPr>
          <w:rFonts w:hint="eastAsia" w:cs="宋体" w:asciiTheme="minorEastAsia" w:hAnsiTheme="minorEastAsia" w:eastAsiaTheme="minorEastAsia"/>
          <w:color w:val="auto"/>
          <w:szCs w:val="21"/>
        </w:rPr>
        <w:t>投标人须知前附表</w:t>
      </w:r>
      <w:bookmarkEnd w:id="19"/>
      <w:bookmarkEnd w:id="20"/>
    </w:p>
    <w:tbl>
      <w:tblPr>
        <w:tblStyle w:val="21"/>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keepNext w:val="0"/>
              <w:keepLines w:val="0"/>
              <w:pageBreakBefore w:val="0"/>
              <w:kinsoku/>
              <w:wordWrap/>
              <w:overflowPunct/>
              <w:topLinePunct w:val="0"/>
              <w:autoSpaceDE/>
              <w:autoSpaceDN/>
              <w:bidi w:val="0"/>
              <w:spacing w:line="360" w:lineRule="auto"/>
              <w:ind w:firstLine="42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color w:val="auto"/>
              </w:rPr>
            </w:pPr>
            <w:r>
              <w:rPr>
                <w:rFonts w:hint="eastAsia" w:ascii="宋体" w:hAnsi="宋体"/>
                <w:color w:val="auto"/>
                <w:kern w:val="0"/>
              </w:rPr>
              <w:t>采购人名称：</w:t>
            </w:r>
            <w:r>
              <w:rPr>
                <w:rFonts w:hint="eastAsia"/>
                <w:color w:val="auto"/>
              </w:rPr>
              <w:t>浙江康复医院</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color w:val="auto"/>
              </w:rPr>
            </w:pPr>
            <w:r>
              <w:rPr>
                <w:rFonts w:hint="eastAsia"/>
                <w:color w:val="auto"/>
              </w:rPr>
              <w:t>联系人：</w:t>
            </w:r>
            <w:r>
              <w:rPr>
                <w:rFonts w:hint="eastAsia"/>
                <w:color w:val="auto"/>
                <w:lang w:eastAsia="zh-CN"/>
              </w:rPr>
              <w:t>夏老师</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eastAsia="宋体"/>
                <w:color w:val="auto"/>
                <w:lang w:val="en-US" w:eastAsia="zh-CN"/>
              </w:rPr>
            </w:pPr>
            <w:r>
              <w:rPr>
                <w:rFonts w:hint="eastAsia" w:ascii="宋体" w:hAnsi="宋体"/>
                <w:color w:val="auto"/>
                <w:kern w:val="0"/>
              </w:rPr>
              <w:t>联系电话：</w:t>
            </w:r>
            <w:r>
              <w:rPr>
                <w:color w:val="auto"/>
                <w:kern w:val="0"/>
              </w:rPr>
              <w:t>0571-</w:t>
            </w:r>
            <w:r>
              <w:rPr>
                <w:rFonts w:hint="eastAsia"/>
                <w:color w:val="auto"/>
                <w:kern w:val="0"/>
                <w:lang w:val="en-US" w:eastAsia="zh-CN"/>
              </w:rPr>
              <w:t>86439865</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color w:val="auto"/>
                <w:kern w:val="0"/>
              </w:rPr>
              <w:t>地址：</w:t>
            </w:r>
            <w:r>
              <w:rPr>
                <w:rFonts w:hint="eastAsia"/>
                <w:color w:val="auto"/>
                <w:szCs w:val="21"/>
              </w:rPr>
              <w:t>杭州市江干区观音塘路103号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keepNext w:val="0"/>
              <w:keepLines w:val="0"/>
              <w:pageBreakBefore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投标人应按本招标文件规定的格式及要求编制、签署、盖章、装订、密封投标文件，并标注页码，提供目录。</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keepNext w:val="0"/>
              <w:keepLines w:val="0"/>
              <w:pageBreakBefore w:val="0"/>
              <w:kinsoku/>
              <w:wordWrap/>
              <w:overflowPunct/>
              <w:topLinePunct w:val="0"/>
              <w:autoSpaceDE/>
              <w:autoSpaceDN/>
              <w:bidi w:val="0"/>
              <w:spacing w:line="360" w:lineRule="auto"/>
              <w:ind w:firstLine="0" w:firstLineChars="0"/>
              <w:textAlignment w:val="auto"/>
              <w:rPr>
                <w:color w:val="auto"/>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履约保证金在质量保证期届满，确认投标人无违约行为后5个工作日内无息返还。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现场踏勘</w:t>
            </w:r>
          </w:p>
        </w:tc>
        <w:tc>
          <w:tcPr>
            <w:tcW w:w="6330" w:type="dxa"/>
            <w:vAlign w:val="center"/>
          </w:tcPr>
          <w:p>
            <w:pPr>
              <w:pStyle w:val="5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keepNext w:val="0"/>
              <w:keepLines w:val="0"/>
              <w:pageBreakBefore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（1）《中小企业声明函》；</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（2）已正式加入浙江政府采购网供应商库的页面查询结果截图。</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是否进口产品</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u w:val="thick"/>
              </w:rPr>
            </w:pPr>
            <w:r>
              <w:rPr>
                <w:rFonts w:hint="eastAsia" w:cs="宋体" w:asciiTheme="minorEastAsia" w:hAnsiTheme="minorEastAsia" w:eastAsiaTheme="minorEastAsia"/>
                <w:color w:val="auto"/>
                <w:szCs w:val="21"/>
              </w:rPr>
              <w:t>进口产品，国产产品也可投标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 xml:space="preserve"> %收取。由中标人在领取中标通知书时一次性向采购代理机构付清。支付账号同标书费支付账号。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对采购结果提出质疑的，质疑期限自采购结果公告（包括公示、预公告、结果变更公告等）之日起计算。否则，被质疑人可不予接受。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144974497"/>
      <w:bookmarkStart w:id="23" w:name="_Toc296602420"/>
      <w:bookmarkStart w:id="24" w:name="_Toc452457414"/>
      <w:bookmarkStart w:id="25" w:name="_Toc179632546"/>
      <w:bookmarkStart w:id="26" w:name="_Toc247085689"/>
      <w:bookmarkStart w:id="27" w:name="_Toc152042305"/>
      <w:bookmarkStart w:id="28" w:name="_Toc152045529"/>
      <w:bookmarkStart w:id="29" w:name="_Toc246996175"/>
      <w:bookmarkStart w:id="30" w:name="_Toc246996918"/>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873322"/>
      <w:bookmarkStart w:id="32" w:name="_Toc450840073"/>
      <w:bookmarkStart w:id="33" w:name="_Toc82338239"/>
      <w:bookmarkStart w:id="34" w:name="_Toc20023"/>
      <w:bookmarkStart w:id="35" w:name="_Toc144974498"/>
      <w:bookmarkStart w:id="36" w:name="_Toc179632547"/>
      <w:bookmarkStart w:id="37" w:name="_Toc152042306"/>
      <w:bookmarkStart w:id="38" w:name="_Toc246996176"/>
      <w:bookmarkStart w:id="39" w:name="_Toc152045530"/>
      <w:bookmarkStart w:id="40" w:name="_Toc247085690"/>
      <w:bookmarkStart w:id="41" w:name="_Toc246996919"/>
      <w:bookmarkStart w:id="42" w:name="_Toc296602421"/>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13672"/>
      <w:bookmarkStart w:id="47" w:name="_Toc82873323"/>
      <w:bookmarkStart w:id="48" w:name="_Toc450840074"/>
      <w:bookmarkStart w:id="49" w:name="_Toc82338240"/>
      <w:bookmarkStart w:id="50" w:name="_Toc6227646"/>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338241"/>
      <w:bookmarkStart w:id="52" w:name="_Toc82873324"/>
      <w:bookmarkStart w:id="53" w:name="_Toc6227647"/>
      <w:bookmarkStart w:id="54" w:name="_Toc450840075"/>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1336"/>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cs="宋体" w:asciiTheme="minorEastAsia" w:hAnsiTheme="minorEastAsia" w:eastAsiaTheme="minorEastAsia"/>
          <w:b/>
          <w:color w:val="auto"/>
        </w:rPr>
      </w:pPr>
      <w:r>
        <w:rPr>
          <w:rFonts w:hint="eastAsia" w:cs="宋体" w:asciiTheme="minorEastAsia" w:hAnsiTheme="minorEastAsia" w:eastAsiaTheme="minorEastAsia"/>
          <w:color w:val="auto"/>
          <w:szCs w:val="21"/>
        </w:rPr>
        <w:t>3.3.1投标报价：</w:t>
      </w:r>
      <w:r>
        <w:rPr>
          <w:rFonts w:hint="eastAsia" w:asciiTheme="minorEastAsia" w:hAnsiTheme="minorEastAsia" w:eastAsiaTheme="minorEastAsia"/>
          <w:color w:val="auto"/>
          <w:szCs w:val="21"/>
        </w:rPr>
        <w:t>设备、软件、标准附件、备品备件、专用工具、图纸资料、技术服务，包装、仓储、装卸、运输，保险、税金，货到就位以及安装、调试，</w:t>
      </w:r>
      <w:r>
        <w:rPr>
          <w:rFonts w:hint="eastAsia" w:cs="宋体" w:asciiTheme="minorEastAsia" w:hAnsiTheme="minorEastAsia" w:eastAsiaTheme="minorEastAsia"/>
          <w:color w:val="auto"/>
          <w:szCs w:val="21"/>
        </w:rPr>
        <w:t>检验、检测，</w:t>
      </w:r>
      <w:r>
        <w:rPr>
          <w:rFonts w:hint="eastAsia" w:asciiTheme="minorEastAsia" w:hAnsiTheme="minorEastAsia" w:eastAsiaTheme="minorEastAsia"/>
          <w:color w:val="auto"/>
          <w:szCs w:val="21"/>
        </w:rPr>
        <w:t>培训、保修等</w:t>
      </w:r>
      <w:r>
        <w:rPr>
          <w:rFonts w:hint="eastAsia" w:cs="宋体" w:asciiTheme="minorEastAsia" w:hAnsiTheme="minorEastAsia" w:eastAsiaTheme="minorEastAsia"/>
          <w:color w:val="auto"/>
          <w:szCs w:val="21"/>
        </w:rPr>
        <w:t>通过验收直至交付使用单位，达到使用要求及质量标准、质保期服务所需的全部费用，以及招标代理服务费</w:t>
      </w:r>
      <w:r>
        <w:rPr>
          <w:rFonts w:hint="eastAsia" w:cs="宋体" w:asciiTheme="minorEastAsia" w:hAnsiTheme="minorEastAsia" w:eastAsiaTheme="minorEastAsia"/>
          <w:color w:val="auto"/>
          <w:szCs w:val="21"/>
          <w:lang w:eastAsia="zh-CN"/>
        </w:rPr>
        <w:t>、履约验收费用</w:t>
      </w:r>
      <w:r>
        <w:rPr>
          <w:rFonts w:hint="eastAsia" w:cs="宋体" w:asciiTheme="minorEastAsia" w:hAnsiTheme="minorEastAsia" w:eastAsiaTheme="minorEastAsia"/>
          <w:color w:val="auto"/>
          <w:szCs w:val="21"/>
        </w:rPr>
        <w:t>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投标人对所投标项的货物必须按采购数量全部进行报价。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6</w:t>
      </w:r>
      <w:r>
        <w:rPr>
          <w:rFonts w:hint="eastAsia" w:cs="宋体" w:asciiTheme="minorEastAsia" w:hAnsiTheme="minorEastAsia" w:eastAsiaTheme="minorEastAsia"/>
          <w:color w:val="auto"/>
          <w:szCs w:val="21"/>
        </w:rPr>
        <w:t>若所投产品为进口产品，该批货物可办理免税，投标报价应以免税价为投标价。中标人应积极配合采购人办理免税相关手续。</w:t>
      </w:r>
    </w:p>
    <w:p>
      <w:pPr>
        <w:pStyle w:val="6"/>
        <w:rPr>
          <w:color w:val="auto"/>
        </w:rPr>
      </w:pPr>
      <w:bookmarkStart w:id="57" w:name="_Toc82873316"/>
      <w:bookmarkStart w:id="58" w:name="_Toc82338233"/>
      <w:bookmarkStart w:id="59" w:name="_Toc450840079"/>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5519"/>
      <w:bookmarkStart w:id="61" w:name="_Toc82873325"/>
      <w:bookmarkStart w:id="62" w:name="_Toc82338242"/>
      <w:bookmarkStart w:id="63" w:name="_Toc6227648"/>
      <w:bookmarkStart w:id="64" w:name="_Toc450840076"/>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3天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482006357"/>
      <w:bookmarkStart w:id="70" w:name="_Toc2078365"/>
      <w:bookmarkStart w:id="71" w:name="_Toc450840077"/>
      <w:bookmarkStart w:id="72" w:name="_Toc6227649"/>
      <w:bookmarkStart w:id="73" w:name="_Toc30055"/>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450840078"/>
      <w:bookmarkStart w:id="76" w:name="_Toc2078366"/>
      <w:bookmarkStart w:id="77" w:name="_Toc6227650"/>
      <w:bookmarkStart w:id="78" w:name="_Toc444084291"/>
      <w:bookmarkStart w:id="79" w:name="_Toc439316483"/>
      <w:bookmarkStart w:id="80" w:name="_Toc12983"/>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82873317"/>
      <w:bookmarkStart w:id="82" w:name="_Toc450840083"/>
      <w:bookmarkStart w:id="83" w:name="_Toc30189"/>
      <w:bookmarkStart w:id="84" w:name="_Toc82338234"/>
      <w:r>
        <w:rPr>
          <w:rFonts w:hint="eastAsia" w:asciiTheme="minorEastAsia" w:hAnsiTheme="minorEastAsia" w:eastAsiaTheme="minorEastAsia"/>
          <w:color w:val="auto"/>
          <w:sz w:val="32"/>
          <w:szCs w:val="32"/>
        </w:rPr>
        <w:t>第二章 采购项目技术规范和服务要求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7867"/>
      <w:r>
        <w:rPr>
          <w:rFonts w:hint="eastAsia" w:cs="宋体" w:asciiTheme="minorEastAsia" w:hAnsiTheme="minorEastAsia" w:eastAsiaTheme="minorEastAsia"/>
          <w:color w:val="auto"/>
          <w:szCs w:val="21"/>
        </w:rPr>
        <w:t>1项目背景</w:t>
      </w:r>
      <w:bookmarkEnd w:id="85"/>
      <w:r>
        <w:rPr>
          <w:rFonts w:hint="eastAsia" w:cs="宋体" w:asciiTheme="minorEastAsia" w:hAnsiTheme="minorEastAsia" w:eastAsiaTheme="minorEastAsia"/>
          <w:color w:val="auto"/>
          <w:szCs w:val="21"/>
        </w:rPr>
        <w:t>和介绍</w:t>
      </w:r>
      <w:bookmarkEnd w:id="86"/>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87" w:name="_Toc10470"/>
      <w:bookmarkStart w:id="88"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技术规范和服务要求</w:t>
      </w:r>
      <w:bookmarkEnd w:id="87"/>
    </w:p>
    <w:p>
      <w:pPr>
        <w:widowControl/>
        <w:spacing w:line="280" w:lineRule="exact"/>
        <w:jc w:val="center"/>
        <w:rPr>
          <w:rFonts w:ascii="宋体" w:hAnsi="宋体"/>
          <w:b/>
          <w:color w:val="auto"/>
          <w:kern w:val="0"/>
          <w:szCs w:val="21"/>
        </w:rPr>
      </w:pPr>
      <w:r>
        <w:rPr>
          <w:rFonts w:hint="eastAsia" w:ascii="宋体" w:hAnsi="宋体"/>
          <w:b/>
          <w:color w:val="auto"/>
          <w:kern w:val="0"/>
          <w:szCs w:val="21"/>
        </w:rPr>
        <w:t>浙江康复医院消毒供应中心设备采购要求</w:t>
      </w:r>
    </w:p>
    <w:tbl>
      <w:tblPr>
        <w:tblStyle w:val="21"/>
        <w:tblW w:w="9515"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2"/>
        <w:gridCol w:w="7514"/>
        <w:gridCol w:w="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1182" w:type="dxa"/>
            <w:vAlign w:val="center"/>
          </w:tcPr>
          <w:p>
            <w:pPr>
              <w:widowControl/>
              <w:spacing w:line="28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7514" w:type="dxa"/>
            <w:vAlign w:val="center"/>
          </w:tcPr>
          <w:p>
            <w:pPr>
              <w:widowControl/>
              <w:spacing w:line="280" w:lineRule="exact"/>
              <w:jc w:val="center"/>
              <w:rPr>
                <w:rFonts w:hint="eastAsia" w:ascii="宋体" w:hAnsi="宋体" w:eastAsia="宋体" w:cs="宋体"/>
                <w:b/>
                <w:color w:val="auto"/>
                <w:kern w:val="0"/>
                <w:sz w:val="21"/>
                <w:szCs w:val="21"/>
              </w:rPr>
            </w:pPr>
            <w:r>
              <w:rPr>
                <w:rFonts w:hint="eastAsia" w:ascii="宋体" w:hAnsi="宋体" w:cs="宋体"/>
                <w:b/>
                <w:bCs/>
                <w:color w:val="auto"/>
                <w:sz w:val="22"/>
              </w:rPr>
              <w:t>技术参数要求</w:t>
            </w:r>
          </w:p>
        </w:tc>
        <w:tc>
          <w:tcPr>
            <w:tcW w:w="819" w:type="dxa"/>
            <w:vAlign w:val="center"/>
          </w:tcPr>
          <w:p>
            <w:pPr>
              <w:spacing w:line="280" w:lineRule="exact"/>
              <w:ind w:left="0" w:leftChars="0" w:firstLine="0" w:firstLineChars="0"/>
              <w:jc w:val="both"/>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1182" w:type="dxa"/>
            <w:vAlign w:val="center"/>
          </w:tcPr>
          <w:p>
            <w:pPr>
              <w:widowControl/>
              <w:spacing w:line="280" w:lineRule="exact"/>
              <w:jc w:val="center"/>
              <w:rPr>
                <w:rFonts w:hint="eastAsia" w:ascii="宋体" w:hAnsi="宋体" w:eastAsia="宋体" w:cs="宋体"/>
                <w:b/>
                <w:color w:val="auto"/>
                <w:kern w:val="0"/>
                <w:sz w:val="21"/>
                <w:szCs w:val="21"/>
              </w:rPr>
            </w:pPr>
            <w:r>
              <w:rPr>
                <w:rFonts w:hint="eastAsia" w:ascii="宋体" w:hAnsi="宋体" w:eastAsia="宋体" w:cs="宋体"/>
                <w:bCs/>
                <w:color w:val="auto"/>
                <w:kern w:val="0"/>
                <w:sz w:val="21"/>
                <w:szCs w:val="21"/>
              </w:rPr>
              <w:t>一</w:t>
            </w:r>
          </w:p>
        </w:tc>
        <w:tc>
          <w:tcPr>
            <w:tcW w:w="7514" w:type="dxa"/>
            <w:vAlign w:val="center"/>
          </w:tcPr>
          <w:p>
            <w:pPr>
              <w:widowControl/>
              <w:spacing w:line="280" w:lineRule="exact"/>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 xml:space="preserve">脉动真空灭菌器      数量：2台        </w:t>
            </w:r>
          </w:p>
        </w:tc>
        <w:tc>
          <w:tcPr>
            <w:tcW w:w="819" w:type="dxa"/>
            <w:vAlign w:val="center"/>
          </w:tcPr>
          <w:p>
            <w:pPr>
              <w:widowControl/>
              <w:spacing w:line="280" w:lineRule="exact"/>
              <w:jc w:val="left"/>
              <w:rPr>
                <w:rFonts w:hint="eastAsia" w:ascii="宋体" w:hAnsi="宋体" w:eastAsia="宋体" w:cs="宋体"/>
                <w:b/>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1182" w:type="dxa"/>
            <w:vAlign w:val="center"/>
          </w:tcPr>
          <w:p>
            <w:pPr>
              <w:widowControl/>
              <w:spacing w:line="2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w:t>
            </w:r>
          </w:p>
        </w:tc>
        <w:tc>
          <w:tcPr>
            <w:tcW w:w="7514" w:type="dxa"/>
            <w:vAlign w:val="center"/>
          </w:tcPr>
          <w:p>
            <w:pPr>
              <w:widowControl/>
              <w:spacing w:line="280" w:lineRule="exact"/>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适用于:</w:t>
            </w:r>
            <w:r>
              <w:rPr>
                <w:rFonts w:hint="eastAsia" w:ascii="宋体" w:hAnsi="宋体" w:eastAsia="宋体" w:cs="宋体"/>
                <w:bCs/>
                <w:color w:val="auto"/>
                <w:kern w:val="0"/>
                <w:sz w:val="21"/>
                <w:szCs w:val="21"/>
              </w:rPr>
              <w:t>对耐热、耐湿物品的灭菌处理。</w:t>
            </w:r>
          </w:p>
        </w:tc>
        <w:tc>
          <w:tcPr>
            <w:tcW w:w="819" w:type="dxa"/>
            <w:vAlign w:val="center"/>
          </w:tcPr>
          <w:p>
            <w:pPr>
              <w:widowControl/>
              <w:spacing w:line="280" w:lineRule="exact"/>
              <w:jc w:val="left"/>
              <w:rPr>
                <w:rFonts w:hint="eastAsia" w:ascii="宋体" w:hAnsi="宋体" w:eastAsia="宋体" w:cs="宋体"/>
                <w:b/>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1182" w:type="dxa"/>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7514" w:type="dxa"/>
            <w:vAlign w:val="center"/>
          </w:tcPr>
          <w:p>
            <w:pPr>
              <w:rPr>
                <w:rFonts w:hint="eastAsia" w:ascii="宋体" w:hAnsi="宋体" w:eastAsia="宋体" w:cs="宋体"/>
                <w:b/>
                <w:color w:val="auto"/>
                <w:sz w:val="21"/>
                <w:szCs w:val="21"/>
              </w:rPr>
            </w:pPr>
            <w:r>
              <w:rPr>
                <w:rFonts w:hint="eastAsia" w:ascii="宋体" w:hAnsi="宋体" w:eastAsia="宋体" w:cs="宋体"/>
                <w:b/>
                <w:color w:val="auto"/>
                <w:sz w:val="21"/>
                <w:szCs w:val="21"/>
              </w:rPr>
              <w:t>技术要求</w:t>
            </w:r>
          </w:p>
        </w:tc>
        <w:tc>
          <w:tcPr>
            <w:tcW w:w="819" w:type="dxa"/>
            <w:vAlign w:val="center"/>
          </w:tcPr>
          <w:p>
            <w:pPr>
              <w:widowControl/>
              <w:spacing w:line="280" w:lineRule="exact"/>
              <w:jc w:val="left"/>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w:t>
            </w:r>
          </w:p>
        </w:tc>
        <w:tc>
          <w:tcPr>
            <w:tcW w:w="7514" w:type="dxa"/>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单台灭菌室有效容积≥1200L，必需具有国家压力容器设计许可证及制造许可证。</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主体结构内置全自动蒸汽发生器</w:t>
            </w:r>
            <w:r>
              <w:rPr>
                <w:rFonts w:hint="eastAsia" w:ascii="宋体" w:hAnsi="宋体" w:cs="宋体"/>
                <w:color w:val="auto"/>
                <w:sz w:val="21"/>
                <w:szCs w:val="21"/>
                <w:lang w:eastAsia="zh-CN"/>
              </w:rPr>
              <w:t>，</w:t>
            </w:r>
            <w:r>
              <w:rPr>
                <w:rFonts w:hint="eastAsia" w:ascii="宋体" w:hAnsi="宋体" w:eastAsia="宋体" w:cs="宋体"/>
                <w:color w:val="auto"/>
                <w:sz w:val="21"/>
                <w:szCs w:val="21"/>
              </w:rPr>
              <w:t>蒸汽额定工作压力≤0.23MPA，最大蒸汽量≤50kg/cycle,和用水量≤280kg/cycle，蒸汽发生器带动灭菌器升温时间≤15分钟。</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密封门</w:t>
            </w:r>
            <w:r>
              <w:rPr>
                <w:rFonts w:hint="eastAsia" w:ascii="宋体" w:hAnsi="宋体" w:eastAsia="宋体" w:cs="宋体"/>
                <w:color w:val="auto"/>
                <w:sz w:val="21"/>
                <w:szCs w:val="21"/>
              </w:rPr>
              <w:tab/>
            </w:r>
            <w:r>
              <w:rPr>
                <w:rFonts w:hint="eastAsia" w:ascii="宋体" w:hAnsi="宋体" w:eastAsia="宋体" w:cs="宋体"/>
                <w:color w:val="auto"/>
                <w:sz w:val="21"/>
                <w:szCs w:val="21"/>
              </w:rPr>
              <w:t>双门通道型、自动门，带有压力安全联锁装置、双门互锁以保证清洁区与无菌区的有效隔离。门板必须带保温层。门板SUS304不锈钢，加强筋Q245R碳钢，门板背面焊接加强筋，加强筋数量≥2个，全过程自动完成。</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0"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材质：主要材质SUS304不锈钢,≥8mm。门板不锈钢≥10mm。</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焊接工艺：全自动焊接机器人焊接；氩气保护。</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主体保温：灭菌器主体和密封门必须有良好保温措施，其表层温度不得高于45℃；保湿材料岩棉，厚度≥60mm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温度检测：内室检测必须有两个测温探头，双芯pt100，保证灭菌温度的准确性。</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程序选择：必须具有多套灭菌程序（织物程序、器械程序、液体程序、BD实验、自定义等程序）和功能测试程序，并根据需要可以选择应用，也可以根据实际情况改变工作参数。</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安全保护：压力安全联锁装置，门只有关闭到位，电源才能接通加热产生蒸汽；内室有正压或负压压力，门无法打开。双门互锁。门板采用压缩气密封。故障报警。</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2.10</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管路要求：管路连接采用焊接方式、卫生级优质304不锈钢管路、内外抛光卡箍式连接方式；管路需有良好的保温措施。</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要控制元件：原装进口气动阀和电磁阀。压力控制器，继电器选用性能可靠的品牌（选用原装进口或其在国内独资企业生产）。全部阀门采用400百万次无故障气动阀（选用原装进口气动阀门）。采用双极真空泵。原装进口压力变送器。</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控制系统：PLC采用进口芯片，可实现与同厂家追溯系统的无缝连接，真彩触摸屏操作，操作员、管理员分别有不同的权限对设备进行操作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降噪系统：节水降噪装置。</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记录方式：触摸屏记录：相关报警信息存储在触摸屏中，可随时查看；喷墨打印机记录：设备配置的监控电脑将程序运行中参数永久保存。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2.15</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记录内容：灭菌过程参数：灭菌过程的温度、压力、时间、过程阶段、预置参数等均保存在监控电脑上。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信息接口：无条件免费开放通讯接口，用于供应室追溯系统的信息读取，自动传输数据给信息质量追溯系统。</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2.17</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程序设置：灭菌类程序：织物、器械、液体、自定义测试类程序：BD、泄露测试及辅助程序。</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2.18</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程序运行时间：</w:t>
            </w:r>
            <w:r>
              <w:rPr>
                <w:rFonts w:hint="eastAsia" w:ascii="宋体" w:hAnsi="宋体" w:eastAsia="宋体" w:cs="宋体"/>
                <w:color w:val="auto"/>
                <w:sz w:val="21"/>
                <w:szCs w:val="21"/>
              </w:rPr>
              <w:tab/>
            </w:r>
            <w:r>
              <w:rPr>
                <w:rFonts w:hint="eastAsia" w:ascii="宋体" w:hAnsi="宋体" w:eastAsia="宋体" w:cs="宋体"/>
                <w:color w:val="auto"/>
                <w:sz w:val="21"/>
                <w:szCs w:val="21"/>
              </w:rPr>
              <w:t>标准循环≤55分钟。</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2.19</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脉动次数：</w:t>
            </w:r>
            <w:r>
              <w:rPr>
                <w:rFonts w:hint="eastAsia" w:ascii="宋体" w:hAnsi="宋体" w:eastAsia="宋体" w:cs="宋体"/>
                <w:color w:val="auto"/>
                <w:sz w:val="21"/>
                <w:szCs w:val="21"/>
              </w:rPr>
              <w:tab/>
            </w:r>
            <w:r>
              <w:rPr>
                <w:rFonts w:hint="eastAsia" w:ascii="宋体" w:hAnsi="宋体" w:eastAsia="宋体" w:cs="宋体"/>
                <w:color w:val="auto"/>
                <w:sz w:val="21"/>
                <w:szCs w:val="21"/>
              </w:rPr>
              <w:t>0～99次可设。</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2.20</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灭菌温度：</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105～138℃可设。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灭菌时间：</w:t>
            </w:r>
            <w:r>
              <w:rPr>
                <w:rFonts w:hint="eastAsia" w:ascii="宋体" w:hAnsi="宋体" w:eastAsia="宋体" w:cs="宋体"/>
                <w:color w:val="auto"/>
                <w:sz w:val="21"/>
                <w:szCs w:val="21"/>
              </w:rPr>
              <w:tab/>
            </w: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999</w:t>
            </w:r>
            <w:r>
              <w:rPr>
                <w:rFonts w:hint="eastAsia" w:ascii="宋体" w:hAnsi="宋体" w:eastAsia="宋体" w:cs="宋体"/>
                <w:color w:val="auto"/>
                <w:sz w:val="21"/>
                <w:szCs w:val="21"/>
              </w:rPr>
              <w:t xml:space="preserve">分钟可设。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干燥时间：</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0～</w:t>
            </w:r>
            <w:r>
              <w:rPr>
                <w:rFonts w:hint="eastAsia" w:ascii="宋体" w:hAnsi="宋体" w:cs="宋体"/>
                <w:color w:val="auto"/>
                <w:sz w:val="21"/>
                <w:szCs w:val="21"/>
                <w:lang w:val="en-US" w:eastAsia="zh-CN"/>
              </w:rPr>
              <w:t>999</w:t>
            </w:r>
            <w:r>
              <w:rPr>
                <w:rFonts w:hint="eastAsia" w:ascii="宋体" w:hAnsi="宋体" w:eastAsia="宋体" w:cs="宋体"/>
                <w:color w:val="auto"/>
                <w:sz w:val="21"/>
                <w:szCs w:val="21"/>
              </w:rPr>
              <w:t xml:space="preserve">分钟可设。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工作电源额定功率:≤54kw。</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外形尺寸：≤1840x1380x1894mm</w:t>
            </w:r>
            <w:r>
              <w:rPr>
                <w:rFonts w:hint="eastAsia" w:ascii="宋体" w:hAnsi="宋体" w:eastAsia="宋体" w:cs="宋体"/>
                <w:color w:val="auto"/>
                <w:sz w:val="21"/>
                <w:szCs w:val="21"/>
              </w:rPr>
              <w:tab/>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2.25</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标准配置：每台主机必须配置：不锈钢消毒车1辆，外搬运车2辆，橡胶压缩气管、快插接头1套。</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2.26</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脉动真空灭菌器含部分的计量检测：压力容器安装告知与使用证的办理。</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二</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低温过氧化氢灭菌器  数量：1台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适用于：</w:t>
            </w:r>
            <w:r>
              <w:rPr>
                <w:rFonts w:hint="eastAsia" w:ascii="宋体" w:hAnsi="宋体" w:eastAsia="宋体" w:cs="宋体"/>
                <w:color w:val="auto"/>
                <w:sz w:val="21"/>
                <w:szCs w:val="21"/>
              </w:rPr>
              <w:t>不能采用湿热法灭菌的腔镜、管路及软式内镜等器械的灭菌。</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技术要求</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内腔有效装载容积及腔体构造：</w:t>
            </w:r>
            <w:r>
              <w:rPr>
                <w:rFonts w:hint="eastAsia" w:ascii="宋体" w:hAnsi="宋体" w:cs="宋体"/>
                <w:color w:val="auto"/>
                <w:sz w:val="21"/>
                <w:szCs w:val="21"/>
                <w:lang w:eastAsia="zh-CN"/>
              </w:rPr>
              <w:t>内腔有效装载容积</w:t>
            </w:r>
            <w:r>
              <w:rPr>
                <w:rFonts w:hint="eastAsia" w:ascii="宋体" w:hAnsi="宋体" w:eastAsia="宋体" w:cs="宋体"/>
                <w:color w:val="auto"/>
                <w:sz w:val="21"/>
                <w:szCs w:val="21"/>
              </w:rPr>
              <w:t>≥50L ，采用矩形设计，最大程度满足可装载空间，数据来源提供厂家技术白皮书证明。</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2.2</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灭菌循环：设备需满足≥3个灭菌模式：非管腔循环，灭菌时间≤ 30分钟；</w:t>
            </w:r>
          </w:p>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软镜循环，灭菌时间≤ 42分钟；管腔循环，灭菌时间 ≤ 60分钟。（提供原厂datasheet）。</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装载方式及容量：可碰壁装载， 单锅次可装载不少于10根管腔内镜（提供FDA或原厂datasheet）。</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一体化设计：主机配置专用可移动柜式车，可存储专用耗材。</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灭菌方法：采用液态过氧化氢进行加温并注入灭菌腔后产生雾态过氧化氢气体进行器械灭菌。</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工作温度：≤55℃。</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去残留过程：采用抽真空及快速催化器帮助过氧化氢气体的去除及分解，形成水分子及氧气。</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灭菌剂浓度：灭菌剂（过氧化氢液体）浓度不超过60%。</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灭菌循环浓度：每个灭菌循环灭菌浓度固定，并有效保障每个灭菌循环的安全及有效性。</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2.10</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灭菌剂包装：人体无接触、无挥发；常温保存，无需其他特殊保存条件。</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测试方法：嗜热脂肪芽孢杆菌生物监测。</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2.12</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湿度自检系统：在灭菌剂正式注入腔体前，机器具有全自动检测腔内湿度并帮助排除水份，避免灭菌失败，浪费消耗成本。</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程序双重确认：在启动任何一个灭菌循环程序时，可再次进行确认是否开始循环，便于误操作造成不必要的损失。</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2.14</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单通道硬式管腔内镜需求：管腔直径 ≤1mm、长度≥400mm；（提供FDA或原厂datasheet）。</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2.15</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单通道软式内镜（带有光纤）需求: 单通道软镜直径≤1mm、长度≥900mm，（提供FDA或原厂datasheet）。</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双通道硬式管腔内镜需求：管腔镜直径≤1mm、长度≥400mm（提供FDA或原厂datasheet）。</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▲2.17</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双通道软式内镜（带有光纤）需求: 双通道软镜直径≤1mm、长度≥900mm和 直径≤1mm、长度≥700mm（提供FDA或原厂datasheet）。</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2.18</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三通道硬式管腔内镜需求：管腔镜直径≤1.5mm、长度 ≤300mm; 管腔镜直径≤2.0mm、长度 ≤ 400mm; 管腔镜直径≤3mm、长度 ≤400mm（提供FDA或原厂datasheet）。</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2.19</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操作及显示系统:PC控制系统，触摸彩色显示屏，可实时显示当前循环模式及剩余时间和相关灭菌参数。</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2.20</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USB接口:设备外测壁自带USB接口，便于随时数据上传及下载。</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数字网络化技术:可将具体装载物品信息输入设备，灭菌终端可与医院HIS系统、个人电脑及器械追溯系统实现无缝连接、数据网络化共享与传输实时监控设备运转情况，并具备提供任何灭菌批次的可追溯信息的网络。</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打印记录:可自动电脑打印提供每个灭菌周期的实时（≤30秒一次）临界参数如舱内压、温度和灭菌时间等灭菌参数和故障显示的信息记录。</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灭菌兼容证明:提供以下五个品牌（STORS、奥林巴斯、狼牌、史赛克、Pentax）中至少三个的腔镜器械厂家出具的器械灭菌验证报告。</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1182" w:type="dxa"/>
            <w:vAlign w:val="center"/>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2.2</w:t>
            </w:r>
            <w:r>
              <w:rPr>
                <w:rFonts w:hint="eastAsia" w:ascii="宋体" w:hAnsi="宋体" w:cs="宋体"/>
                <w:color w:val="auto"/>
                <w:sz w:val="21"/>
                <w:szCs w:val="21"/>
                <w:lang w:val="en-US" w:eastAsia="zh-CN"/>
              </w:rPr>
              <w:t>4</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国际认证:具备</w:t>
            </w:r>
            <w:r>
              <w:rPr>
                <w:rStyle w:val="59"/>
                <w:rFonts w:hint="eastAsia" w:ascii="宋体" w:hAnsi="宋体" w:eastAsia="宋体" w:cs="宋体"/>
                <w:color w:val="auto"/>
                <w:sz w:val="21"/>
                <w:szCs w:val="21"/>
              </w:rPr>
              <w:t>FDA认证或CE认证。</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2.2</w:t>
            </w:r>
            <w:r>
              <w:rPr>
                <w:rFonts w:hint="eastAsia" w:ascii="宋体" w:hAnsi="宋体" w:cs="宋体"/>
                <w:color w:val="auto"/>
                <w:sz w:val="21"/>
                <w:szCs w:val="21"/>
                <w:lang w:val="en-US" w:eastAsia="zh-CN"/>
              </w:rPr>
              <w:t>5</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检测报告:提供具有CMA检测资质的设备检测报告，检测项目包括《模拟现场实验》、《金属腐蚀性实验》、《毒理学安全性检测》等。</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en-US" w:eastAsia="zh-CN"/>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2.2</w:t>
            </w:r>
            <w:r>
              <w:rPr>
                <w:rFonts w:hint="eastAsia" w:ascii="宋体" w:hAnsi="宋体" w:cs="宋体"/>
                <w:color w:val="auto"/>
                <w:sz w:val="21"/>
                <w:szCs w:val="21"/>
                <w:lang w:val="en-US" w:eastAsia="zh-CN"/>
              </w:rPr>
              <w:t>6</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配置低温过氧化氢快速生物阅读器及过氧化氢浓度超标报警装置各一台，</w:t>
            </w:r>
            <w:r>
              <w:rPr>
                <w:rFonts w:hint="eastAsia" w:ascii="宋体" w:hAnsi="宋体" w:eastAsia="宋体" w:cs="宋体"/>
                <w:bCs/>
                <w:color w:val="auto"/>
                <w:kern w:val="0"/>
                <w:sz w:val="21"/>
                <w:szCs w:val="21"/>
              </w:rPr>
              <w:t>其中</w:t>
            </w:r>
            <w:r>
              <w:rPr>
                <w:rFonts w:hint="eastAsia" w:ascii="宋体" w:hAnsi="宋体" w:eastAsia="宋体" w:cs="宋体"/>
                <w:color w:val="auto"/>
                <w:sz w:val="21"/>
                <w:szCs w:val="21"/>
              </w:rPr>
              <w:t>过氧化氢快速生物阅读器出结果时间≤30分钟。</w:t>
            </w:r>
            <w:r>
              <w:rPr>
                <w:rFonts w:hint="eastAsia" w:ascii="宋体" w:hAnsi="宋体" w:eastAsia="宋体" w:cs="宋体"/>
                <w:bCs/>
                <w:color w:val="auto"/>
                <w:kern w:val="0"/>
                <w:sz w:val="21"/>
                <w:szCs w:val="21"/>
              </w:rPr>
              <w:t>便于灭菌设备处理结果的快速检测放行及对过氧化氢气体进行实时监测，浓度超标报警。</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182" w:type="dxa"/>
            <w:vAlign w:val="center"/>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2.2</w:t>
            </w:r>
            <w:r>
              <w:rPr>
                <w:rFonts w:hint="eastAsia" w:ascii="宋体" w:hAnsi="宋体" w:cs="宋体"/>
                <w:color w:val="auto"/>
                <w:sz w:val="21"/>
                <w:szCs w:val="21"/>
                <w:lang w:val="en-US" w:eastAsia="zh-CN"/>
              </w:rPr>
              <w:t>7</w:t>
            </w:r>
          </w:p>
        </w:tc>
        <w:tc>
          <w:tcPr>
            <w:tcW w:w="751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电源：AC220V，≤10KW。</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w:t>
            </w:r>
          </w:p>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三</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快速清洗消毒机  数量：2台         </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pStyle w:val="60"/>
              <w:jc w:val="center"/>
              <w:rPr>
                <w:rStyle w:val="61"/>
                <w:rFonts w:hint="eastAsia" w:ascii="宋体" w:hAnsi="宋体" w:eastAsia="宋体" w:cs="宋体"/>
                <w:color w:val="auto"/>
                <w:sz w:val="21"/>
                <w:szCs w:val="21"/>
              </w:rPr>
            </w:pPr>
            <w:r>
              <w:rPr>
                <w:rStyle w:val="61"/>
                <w:rFonts w:hint="eastAsia" w:ascii="宋体" w:hAnsi="宋体" w:eastAsia="宋体" w:cs="宋体"/>
                <w:color w:val="auto"/>
                <w:sz w:val="21"/>
                <w:szCs w:val="21"/>
              </w:rPr>
              <w:t>1.</w:t>
            </w:r>
          </w:p>
        </w:tc>
        <w:tc>
          <w:tcPr>
            <w:tcW w:w="7514" w:type="dxa"/>
          </w:tcPr>
          <w:p>
            <w:pPr>
              <w:pStyle w:val="60"/>
              <w:rPr>
                <w:rStyle w:val="61"/>
                <w:rFonts w:hint="eastAsia" w:ascii="宋体" w:hAnsi="宋体" w:eastAsia="宋体" w:cs="宋体"/>
                <w:color w:val="auto"/>
                <w:sz w:val="21"/>
                <w:szCs w:val="21"/>
              </w:rPr>
            </w:pPr>
            <w:r>
              <w:rPr>
                <w:rStyle w:val="61"/>
                <w:rFonts w:hint="eastAsia" w:ascii="宋体" w:hAnsi="宋体" w:eastAsia="宋体" w:cs="宋体"/>
                <w:b/>
                <w:bCs w:val="0"/>
                <w:color w:val="auto"/>
                <w:sz w:val="21"/>
                <w:szCs w:val="21"/>
              </w:rPr>
              <w:t>适用范围：</w:t>
            </w:r>
            <w:r>
              <w:rPr>
                <w:rStyle w:val="61"/>
                <w:rFonts w:hint="eastAsia" w:ascii="宋体" w:hAnsi="宋体" w:eastAsia="宋体" w:cs="宋体"/>
                <w:color w:val="auto"/>
                <w:sz w:val="21"/>
                <w:szCs w:val="21"/>
              </w:rPr>
              <w:t>对手术器械、麻醉呼吸管道、换药碗等进行清洗、消毒、上油及干燥处理。</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pStyle w:val="60"/>
              <w:jc w:val="center"/>
              <w:rPr>
                <w:rStyle w:val="61"/>
                <w:rFonts w:hint="eastAsia" w:ascii="宋体" w:hAnsi="宋体" w:eastAsia="宋体" w:cs="宋体"/>
                <w:color w:val="auto"/>
                <w:sz w:val="21"/>
                <w:szCs w:val="21"/>
              </w:rPr>
            </w:pPr>
            <w:r>
              <w:rPr>
                <w:rStyle w:val="61"/>
                <w:rFonts w:hint="eastAsia" w:ascii="宋体" w:hAnsi="宋体" w:eastAsia="宋体" w:cs="宋体"/>
                <w:color w:val="auto"/>
                <w:sz w:val="21"/>
                <w:szCs w:val="21"/>
              </w:rPr>
              <w:t>2.</w:t>
            </w:r>
          </w:p>
        </w:tc>
        <w:tc>
          <w:tcPr>
            <w:tcW w:w="7514" w:type="dxa"/>
          </w:tcPr>
          <w:p>
            <w:pPr>
              <w:pStyle w:val="60"/>
              <w:rPr>
                <w:rStyle w:val="61"/>
                <w:rFonts w:hint="eastAsia" w:ascii="宋体" w:hAnsi="宋体" w:eastAsia="宋体" w:cs="宋体"/>
                <w:color w:val="auto"/>
                <w:sz w:val="21"/>
                <w:szCs w:val="21"/>
              </w:rPr>
            </w:pPr>
            <w:r>
              <w:rPr>
                <w:rStyle w:val="61"/>
                <w:rFonts w:hint="eastAsia" w:ascii="宋体" w:hAnsi="宋体" w:eastAsia="宋体" w:cs="宋体"/>
                <w:b/>
                <w:bCs w:val="0"/>
                <w:color w:val="auto"/>
                <w:sz w:val="21"/>
                <w:szCs w:val="21"/>
              </w:rPr>
              <w:t>技术要求</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观察窗：装卸双门提供大尺寸钢化玻璃观察窗。</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装载高度：符合人体工程学设计，距地≤760mm。</w:t>
            </w:r>
          </w:p>
        </w:tc>
        <w:tc>
          <w:tcPr>
            <w:tcW w:w="819" w:type="dxa"/>
            <w:vAlign w:val="center"/>
          </w:tcPr>
          <w:p>
            <w:pPr>
              <w:widowControl/>
              <w:spacing w:line="280" w:lineRule="exact"/>
              <w:jc w:val="lef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腔体密封圈：需要配置密封圈，防止水与水汽外泄。</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装载量：有效容积≥260升。</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2.5</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清洗时间：快速手术器械清洗程序全程（包括干燥时间）不超过30分钟，无需额外添置加热水箱，并提供相关证明材料。</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加热方式：电加热。</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控制方式：全自动微机控制。</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显示方式：5.7”及以上彩色液晶触摸屏一个，用全屏颜色和倒计时显示工作阶段和剩余时间（需提供技术白皮书证明）。</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内腔材质：采用优质耐酸、耐碱、耐腐蚀不锈钢。</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2.10</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工作流程：预清洗、清洗（加酶）、漂洗（上油）、干燥。</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清洗消毒程序：不少于4个可调循环，可自编程序。</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2.12</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清洗泵输出功率≥3马力。</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2.13</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具备污水排放冷却系统，污水排放温度不高于60°C。</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▲2.14</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信息接口预留：USB接口至少1个，位于装载端操作面板上，局域网网线接口至少1个。</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2.15</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打印机：可选择装或卸侧，卷轴纸、打印报告可选。</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高精密耗材注入泵：腔内不少于3个高精密耗材注入泵，带有电子流量计。</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2.17</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安全参数：故障报警、自动故障诊断系统、门未关好不能启动程序、清洗消毒失误时清洁区侧门不能打开、双门互锁 （不能同时打开）。</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2.18</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进水方式：清洗架/篮筐进水方式为底部进水（提供实物照片证明），用水压密封，无机械损耗，防止侧漏。</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▲2.19</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干燥方式：四向烘干风路，顶部有大尺寸通风盘，同时通过舱体、上下喷臂与清洗架喷臂进行快速干燥。</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w:t>
            </w:r>
          </w:p>
        </w:tc>
        <w:tc>
          <w:tcPr>
            <w:tcW w:w="7514" w:type="dxa"/>
            <w:vAlign w:val="center"/>
          </w:tcPr>
          <w:p>
            <w:pP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电源：</w:t>
            </w:r>
            <w:r>
              <w:rPr>
                <w:rFonts w:hint="eastAsia" w:ascii="宋体" w:hAnsi="宋体" w:eastAsia="宋体" w:cs="宋体"/>
                <w:color w:val="auto"/>
                <w:sz w:val="21"/>
                <w:szCs w:val="21"/>
              </w:rPr>
              <w:t xml:space="preserve">AC </w:t>
            </w:r>
            <w:r>
              <w:rPr>
                <w:rFonts w:hint="eastAsia" w:ascii="宋体" w:hAnsi="宋体" w:eastAsia="宋体" w:cs="宋体"/>
                <w:color w:val="auto"/>
                <w:sz w:val="21"/>
                <w:szCs w:val="21"/>
                <w:lang w:val="de-DE"/>
              </w:rPr>
              <w:t>380V</w:t>
            </w:r>
            <w:r>
              <w:rPr>
                <w:rFonts w:hint="eastAsia" w:ascii="宋体" w:hAnsi="宋体" w:eastAsia="宋体" w:cs="宋体"/>
                <w:color w:val="auto"/>
                <w:sz w:val="21"/>
                <w:szCs w:val="21"/>
              </w:rPr>
              <w:t xml:space="preserve"> 50HZ</w:t>
            </w:r>
            <w:r>
              <w:rPr>
                <w:rFonts w:hint="eastAsia" w:ascii="宋体" w:hAnsi="宋体" w:eastAsia="宋体" w:cs="宋体"/>
                <w:color w:val="auto"/>
                <w:sz w:val="21"/>
                <w:szCs w:val="21"/>
                <w:lang w:val="de-DE"/>
              </w:rPr>
              <w:t>，功率</w:t>
            </w:r>
            <w:r>
              <w:rPr>
                <w:rFonts w:hint="eastAsia" w:ascii="宋体" w:hAnsi="宋体" w:eastAsia="宋体" w:cs="宋体"/>
                <w:color w:val="auto"/>
                <w:sz w:val="21"/>
                <w:szCs w:val="21"/>
              </w:rPr>
              <w:t>≤15KW。</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pStyle w:val="60"/>
              <w:jc w:val="center"/>
              <w:rPr>
                <w:rStyle w:val="61"/>
                <w:rFonts w:hint="eastAsia" w:ascii="宋体" w:hAnsi="宋体" w:eastAsia="宋体" w:cs="宋体"/>
                <w:color w:val="auto"/>
                <w:sz w:val="21"/>
                <w:szCs w:val="21"/>
                <w:lang w:val="en-US"/>
              </w:rPr>
            </w:pPr>
            <w:r>
              <w:rPr>
                <w:rFonts w:hint="eastAsia" w:ascii="宋体" w:hAnsi="宋体" w:eastAsia="宋体" w:cs="宋体"/>
                <w:bCs w:val="0"/>
                <w:color w:val="auto"/>
                <w:kern w:val="2"/>
                <w:sz w:val="21"/>
                <w:szCs w:val="21"/>
                <w:lang w:val="en-US"/>
              </w:rPr>
              <w:t>2.21</w:t>
            </w:r>
          </w:p>
        </w:tc>
        <w:tc>
          <w:tcPr>
            <w:tcW w:w="7514" w:type="dxa"/>
          </w:tcPr>
          <w:p>
            <w:pPr>
              <w:pStyle w:val="60"/>
              <w:rPr>
                <w:rFonts w:hint="eastAsia" w:ascii="宋体" w:hAnsi="宋体" w:eastAsia="宋体" w:cs="宋体"/>
                <w:color w:val="auto"/>
                <w:sz w:val="21"/>
                <w:szCs w:val="21"/>
              </w:rPr>
            </w:pPr>
            <w:r>
              <w:rPr>
                <w:rStyle w:val="61"/>
                <w:rFonts w:hint="eastAsia" w:ascii="宋体" w:hAnsi="宋体" w:eastAsia="宋体" w:cs="宋体"/>
                <w:color w:val="auto"/>
                <w:sz w:val="21"/>
                <w:szCs w:val="21"/>
              </w:rPr>
              <w:t>配置：</w:t>
            </w:r>
            <w:r>
              <w:rPr>
                <w:rFonts w:hint="eastAsia" w:ascii="宋体" w:hAnsi="宋体" w:eastAsia="宋体" w:cs="宋体"/>
                <w:color w:val="auto"/>
                <w:sz w:val="21"/>
                <w:szCs w:val="21"/>
              </w:rPr>
              <w:t>双门快速清洗消毒机主机2台，3层清洗架2个，清洗篮筐24个。</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Style w:val="61"/>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Style w:val="61"/>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b/>
                <w:bCs/>
                <w:color w:val="auto"/>
                <w:sz w:val="21"/>
                <w:szCs w:val="21"/>
                <w:lang w:val="de-DE"/>
              </w:rPr>
              <w:t>四</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de-DE"/>
              </w:rPr>
              <w:t>追溯系统</w:t>
            </w:r>
            <w:r>
              <w:rPr>
                <w:rFonts w:hint="eastAsia" w:ascii="宋体" w:hAnsi="宋体" w:eastAsia="宋体" w:cs="宋体"/>
                <w:b/>
                <w:bCs/>
                <w:color w:val="auto"/>
                <w:sz w:val="21"/>
                <w:szCs w:val="21"/>
              </w:rPr>
              <w:t xml:space="preserve">      数量</w:t>
            </w:r>
            <w:r>
              <w:rPr>
                <w:rFonts w:hint="eastAsia" w:ascii="宋体" w:hAnsi="宋体" w:eastAsia="宋体" w:cs="宋体"/>
                <w:b/>
                <w:bCs/>
                <w:color w:val="auto"/>
                <w:sz w:val="21"/>
                <w:szCs w:val="21"/>
                <w:lang w:val="de-DE"/>
              </w:rPr>
              <w:t>：1套</w:t>
            </w:r>
            <w:r>
              <w:rPr>
                <w:rFonts w:hint="eastAsia" w:ascii="宋体" w:hAnsi="宋体" w:eastAsia="宋体" w:cs="宋体"/>
                <w:b/>
                <w:bCs/>
                <w:color w:val="auto"/>
                <w:sz w:val="21"/>
                <w:szCs w:val="21"/>
              </w:rPr>
              <w:t xml:space="preserve">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1.</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b/>
                <w:bCs/>
                <w:color w:val="auto"/>
                <w:sz w:val="21"/>
                <w:szCs w:val="21"/>
              </w:rPr>
              <w:t>适用于：</w:t>
            </w:r>
            <w:r>
              <w:rPr>
                <w:rFonts w:hint="eastAsia" w:ascii="宋体" w:hAnsi="宋体" w:eastAsia="宋体" w:cs="宋体"/>
                <w:color w:val="auto"/>
                <w:sz w:val="21"/>
                <w:szCs w:val="21"/>
              </w:rPr>
              <w:t>医院消毒供应追溯管理，记录清洗消毒信息，审核清洗消毒质量。</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b/>
                <w:bCs/>
                <w:color w:val="auto"/>
                <w:sz w:val="21"/>
                <w:szCs w:val="21"/>
                <w:lang w:val="de-DE"/>
              </w:rPr>
              <w:t>技术要求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回收</w:t>
            </w:r>
            <w:r>
              <w:rPr>
                <w:rFonts w:hint="eastAsia" w:ascii="宋体" w:hAnsi="宋体" w:eastAsia="宋体" w:cs="宋体"/>
                <w:color w:val="auto"/>
                <w:sz w:val="21"/>
                <w:szCs w:val="21"/>
              </w:rPr>
              <w:tab/>
            </w:r>
            <w:r>
              <w:rPr>
                <w:rFonts w:hint="eastAsia" w:ascii="宋体" w:hAnsi="宋体" w:eastAsia="宋体" w:cs="宋体"/>
                <w:color w:val="auto"/>
                <w:sz w:val="21"/>
                <w:szCs w:val="21"/>
              </w:rPr>
              <w:t>集中登记无菌包回收情况，对器械异常进行登记（包括丢失、报损器械），采用网篮进行分类清点，网篮牌进行追溯匹配；手术器械包通过绑定网篮牌进行追溯，可记录手术器械包使用次数；*记录加急包，回收时可以看到配包图片。</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2.2</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外来器械包管理</w:t>
            </w:r>
            <w:r>
              <w:rPr>
                <w:rFonts w:hint="eastAsia" w:ascii="宋体" w:hAnsi="宋体" w:eastAsia="宋体" w:cs="宋体"/>
                <w:color w:val="auto"/>
                <w:sz w:val="21"/>
                <w:szCs w:val="21"/>
              </w:rPr>
              <w:tab/>
            </w:r>
            <w:r>
              <w:rPr>
                <w:rFonts w:hint="eastAsia" w:ascii="宋体" w:hAnsi="宋体" w:eastAsia="宋体" w:cs="宋体"/>
                <w:color w:val="auto"/>
                <w:sz w:val="21"/>
                <w:szCs w:val="21"/>
              </w:rPr>
              <w:t>实现对外来器械包回收、配包管理，录入外来器械包基本信息并记录是否包含植入物；*可加急，有返洗记录。</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清洗</w:t>
            </w:r>
            <w:r>
              <w:rPr>
                <w:rFonts w:hint="eastAsia" w:ascii="宋体" w:hAnsi="宋体" w:eastAsia="宋体" w:cs="宋体"/>
                <w:color w:val="auto"/>
                <w:sz w:val="21"/>
                <w:szCs w:val="21"/>
              </w:rPr>
              <w:tab/>
            </w:r>
            <w:r>
              <w:rPr>
                <w:rFonts w:hint="eastAsia" w:ascii="宋体" w:hAnsi="宋体" w:eastAsia="宋体" w:cs="宋体"/>
                <w:color w:val="auto"/>
                <w:sz w:val="21"/>
                <w:szCs w:val="21"/>
              </w:rPr>
              <w:t>通过网篮牌匹配清洗消毒设备，记录每个清洗网篮及对应的清洗设备的清洗情况；包括机器清洗与人工清洗。</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2.4</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配包审核、打印标签、条码</w:t>
            </w:r>
            <w:r>
              <w:rPr>
                <w:rFonts w:hint="eastAsia" w:ascii="宋体" w:hAnsi="宋体" w:eastAsia="宋体" w:cs="宋体"/>
                <w:color w:val="auto"/>
                <w:sz w:val="21"/>
                <w:szCs w:val="21"/>
              </w:rPr>
              <w:tab/>
            </w:r>
            <w:r>
              <w:rPr>
                <w:rFonts w:hint="eastAsia" w:ascii="宋体" w:hAnsi="宋体" w:eastAsia="宋体" w:cs="宋体"/>
                <w:color w:val="auto"/>
                <w:sz w:val="21"/>
                <w:szCs w:val="21"/>
              </w:rPr>
              <w:t>对配包结果进行审核，记录审核结果、审核人、审核时间；配包审核合格后完成配包并打印无菌包唯一性编码标签；标签及条码包含如下信息：包名称、灭菌日期、有效日期、配包人、审核人，并可与计算机系统关联查询；不合格包统计，不合格原因及统计。</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2.5</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外消包管理</w:t>
            </w:r>
            <w:r>
              <w:rPr>
                <w:rFonts w:hint="eastAsia" w:ascii="宋体" w:hAnsi="宋体" w:eastAsia="宋体" w:cs="宋体"/>
                <w:color w:val="auto"/>
                <w:sz w:val="21"/>
                <w:szCs w:val="21"/>
              </w:rPr>
              <w:tab/>
            </w:r>
            <w:r>
              <w:rPr>
                <w:rFonts w:hint="eastAsia" w:ascii="宋体" w:hAnsi="宋体" w:eastAsia="宋体" w:cs="宋体"/>
                <w:color w:val="auto"/>
                <w:sz w:val="21"/>
                <w:szCs w:val="21"/>
              </w:rPr>
              <w:t>*支持回收，清洗，配包，灭菌，发放全流程管理。</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2.6</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报表管理</w:t>
            </w:r>
            <w:r>
              <w:rPr>
                <w:rFonts w:hint="eastAsia" w:ascii="宋体" w:hAnsi="宋体" w:eastAsia="宋体" w:cs="宋体"/>
                <w:color w:val="auto"/>
                <w:sz w:val="21"/>
                <w:szCs w:val="21"/>
              </w:rPr>
              <w:tab/>
            </w:r>
            <w:r>
              <w:rPr>
                <w:rFonts w:hint="eastAsia" w:ascii="宋体" w:hAnsi="宋体" w:eastAsia="宋体" w:cs="宋体"/>
                <w:color w:val="auto"/>
                <w:sz w:val="21"/>
                <w:szCs w:val="21"/>
              </w:rPr>
              <w:t>报表信息包括：1、工作量统计（回收、清洗消毒、配包、灭菌、发放等）2、外来器械包管理及统计3、科室申领、发放统计4、丢失器械/器械报损统计5、异常无菌包状态统计6、无菌物品成本核算统计7、出入库及无菌包有效期管理8、*不合格包统计9、*灭菌不合格统计10、*设备维护数据记录。</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2.7</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无菌包追溯</w:t>
            </w:r>
            <w:r>
              <w:rPr>
                <w:rFonts w:hint="eastAsia" w:ascii="宋体" w:hAnsi="宋体" w:eastAsia="宋体" w:cs="宋体"/>
                <w:color w:val="auto"/>
                <w:sz w:val="21"/>
                <w:szCs w:val="21"/>
              </w:rPr>
              <w:tab/>
            </w:r>
            <w:r>
              <w:rPr>
                <w:rFonts w:hint="eastAsia" w:ascii="宋体" w:hAnsi="宋体" w:eastAsia="宋体" w:cs="宋体"/>
                <w:color w:val="auto"/>
                <w:sz w:val="21"/>
                <w:szCs w:val="21"/>
              </w:rPr>
              <w:t>通过无菌包条码追溯无菌包整体流程日志，包括回收、清洗消毒、配包、灭菌、发放和使用，对存在修正、操作失误的保存操作痕迹；同时，反向追溯清洗、灭菌批次，同一批次其他无菌包信息。</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2.8</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患者信息追溯</w:t>
            </w:r>
            <w:r>
              <w:rPr>
                <w:rFonts w:hint="eastAsia" w:ascii="宋体" w:hAnsi="宋体" w:eastAsia="宋体" w:cs="宋体"/>
                <w:color w:val="auto"/>
                <w:sz w:val="21"/>
                <w:szCs w:val="21"/>
              </w:rPr>
              <w:tab/>
            </w:r>
            <w:r>
              <w:rPr>
                <w:rFonts w:hint="eastAsia" w:ascii="宋体" w:hAnsi="宋体" w:eastAsia="宋体" w:cs="宋体"/>
                <w:color w:val="auto"/>
                <w:sz w:val="21"/>
                <w:szCs w:val="21"/>
              </w:rPr>
              <w:t>通过患者唯一编码追溯患者就诊期间所使用的所有无菌包信息。</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2.9</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设备追溯</w:t>
            </w:r>
            <w:r>
              <w:rPr>
                <w:rFonts w:hint="eastAsia" w:ascii="宋体" w:hAnsi="宋体" w:eastAsia="宋体" w:cs="宋体"/>
                <w:color w:val="auto"/>
                <w:sz w:val="21"/>
                <w:szCs w:val="21"/>
              </w:rPr>
              <w:tab/>
            </w:r>
            <w:r>
              <w:rPr>
                <w:rFonts w:hint="eastAsia" w:ascii="宋体" w:hAnsi="宋体" w:eastAsia="宋体" w:cs="宋体"/>
                <w:color w:val="auto"/>
                <w:sz w:val="21"/>
                <w:szCs w:val="21"/>
              </w:rPr>
              <w:t>通过设备锅次、锅号、批次追溯到设备运行时清洗消毒、灭菌的器械、无菌包信息。</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2.10</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数据库</w:t>
            </w:r>
            <w:r>
              <w:rPr>
                <w:rFonts w:hint="eastAsia" w:ascii="宋体" w:hAnsi="宋体" w:eastAsia="宋体" w:cs="宋体"/>
                <w:color w:val="auto"/>
                <w:sz w:val="21"/>
                <w:szCs w:val="21"/>
              </w:rPr>
              <w:tab/>
            </w:r>
            <w:r>
              <w:rPr>
                <w:rFonts w:hint="eastAsia" w:ascii="宋体" w:hAnsi="宋体" w:eastAsia="宋体" w:cs="宋体"/>
                <w:color w:val="auto"/>
                <w:sz w:val="21"/>
                <w:szCs w:val="21"/>
              </w:rPr>
              <w:t>同时支持SQL / ORACLE两种数据库。</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b/>
                <w:bCs/>
                <w:color w:val="auto"/>
                <w:sz w:val="21"/>
                <w:szCs w:val="21"/>
                <w:lang w:val="de-DE"/>
              </w:rPr>
              <w:t>五</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酸性氧化电位水   数量：1台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1.</w:t>
            </w:r>
          </w:p>
        </w:tc>
        <w:tc>
          <w:tcPr>
            <w:tcW w:w="7514" w:type="dxa"/>
            <w:vAlign w:val="center"/>
          </w:tcPr>
          <w:p>
            <w:pPr>
              <w:widowControl/>
              <w:spacing w:line="280" w:lineRule="exact"/>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rPr>
              <w:t>弱酸性（中性）氧化电位水生成装置，适用于供应中心设备消毒。</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w:t>
            </w:r>
          </w:p>
        </w:tc>
        <w:tc>
          <w:tcPr>
            <w:tcW w:w="7514" w:type="dxa"/>
            <w:vAlign w:val="center"/>
          </w:tcPr>
          <w:p>
            <w:pPr>
              <w:jc w:val="left"/>
              <w:rPr>
                <w:rFonts w:hint="eastAsia" w:ascii="宋体" w:hAnsi="宋体" w:eastAsia="宋体" w:cs="宋体"/>
                <w:b/>
                <w:color w:val="auto"/>
                <w:sz w:val="21"/>
                <w:szCs w:val="21"/>
              </w:rPr>
            </w:pPr>
            <w:r>
              <w:rPr>
                <w:rFonts w:hint="eastAsia" w:ascii="宋体" w:hAnsi="宋体" w:eastAsia="宋体" w:cs="宋体"/>
                <w:b/>
                <w:color w:val="auto"/>
                <w:sz w:val="21"/>
                <w:szCs w:val="21"/>
              </w:rPr>
              <w:t>技术功能要求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电压AC220-240V 50/60HZ。</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功率≤120W。</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氧化电位水生成量≥4升/分钟，每小时出氧化电位水≥240升。</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有效氯的浓度：50-80 mg/L。</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2.5</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酸碱度（PH）：2.8-5.5可调。</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2.6</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还原电位（ORP）：850-1200 mv。</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2.7</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根据用户的需求指标范围内任意调节有效氯、PH、ORP。</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2.8</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无隔膜的电解槽，无需更换离子交换膜，使用寿命≥4000小时。</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2.9</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自动调节有效氯、PH、ORP并实进显示ORP 、PH值理化指标。</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2.10</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只出酸性氧化电位水，不出碱性氧化电位水，电解质循环使用功能。</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安装电解质自动供给装置，可连续运行24小时。</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自动检测故障报警显示功能，设备自我保护停止运行功能。</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多种智能自动化运行模式，实现无人化操作。</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2.14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生成氧化电位水开放时保质72小时，密闭可保存12个月。</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b/>
                <w:bCs/>
                <w:color w:val="auto"/>
                <w:sz w:val="21"/>
                <w:szCs w:val="21"/>
                <w:lang w:val="de-DE"/>
              </w:rPr>
              <w:t>六</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双门医用干燥柜   数量：1台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适用于：</w:t>
            </w:r>
            <w:r>
              <w:rPr>
                <w:rFonts w:hint="eastAsia" w:ascii="宋体" w:hAnsi="宋体" w:eastAsia="宋体" w:cs="宋体"/>
                <w:color w:val="auto"/>
                <w:sz w:val="21"/>
                <w:szCs w:val="21"/>
              </w:rPr>
              <w:t>能快速满足器械和物品灭菌前的彻底干燥，同时方便需要包装灭菌的器械包装灭菌。包括一些特殊器械和物品：如麻醉呼吸管道、湿化瓶、各类腔镜和常规器械等。</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技术功能要求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w:t>
            </w:r>
          </w:p>
        </w:tc>
        <w:tc>
          <w:tcPr>
            <w:tcW w:w="7514" w:type="dxa"/>
            <w:vAlign w:val="center"/>
          </w:tcPr>
          <w:p>
            <w:pPr>
              <w:widowControl/>
              <w:spacing w:line="280" w:lineRule="exact"/>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有效容积：</w:t>
            </w:r>
            <w:r>
              <w:rPr>
                <w:rFonts w:hint="eastAsia" w:ascii="宋体" w:hAnsi="宋体" w:eastAsia="宋体" w:cs="宋体"/>
                <w:color w:val="auto"/>
                <w:sz w:val="21"/>
                <w:szCs w:val="21"/>
              </w:rPr>
              <w:tab/>
            </w:r>
            <w:r>
              <w:rPr>
                <w:rFonts w:hint="eastAsia" w:ascii="宋体" w:hAnsi="宋体" w:eastAsia="宋体" w:cs="宋体"/>
                <w:color w:val="auto"/>
                <w:sz w:val="21"/>
                <w:szCs w:val="21"/>
              </w:rPr>
              <w:t>≥500L。</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内部风道循环，节约时间、节约能源。</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14" w:type="dxa"/>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1、一次装载７个置物架或置物篮；2、或30个管状物品可挂在挂钩上进行干燥；3、或42条呼吸麻醉管道；4、或12个呼吸气囊。</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14" w:type="dxa"/>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1、耐高温器械运行时间：≤25分钟；2、不耐高温器械运行时间：≤40分钟；3、根据自定义模式，时间可调。</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514" w:type="dxa"/>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双门通道型、双门可实现互锁，双层钢化玻璃门结构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微动开关检测，电磁铁互锁。</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2.7</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PTC电加热器,升温速度快。</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2.8</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4个加热器。</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2.9</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3个风机。</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2.10</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设备具有自我诊断功能(如：温度传感器异常、自动过升防止功能、温度上偏差报警功能)、过升防止器、漏电断路器等，保证了设备使用的安全性。</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内胆采用镜面304不锈钢，外壳采用碳钢喷塑。</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表面温度小于45℃。</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采用双层结构，玻璃纤维棉保温。</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高效空气过滤器、过滤精度≤0.3 um。</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2.15</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de-DE"/>
              </w:rPr>
              <w:t>电源：</w:t>
            </w:r>
            <w:r>
              <w:rPr>
                <w:rFonts w:hint="eastAsia" w:ascii="宋体" w:hAnsi="宋体" w:eastAsia="宋体" w:cs="宋体"/>
                <w:color w:val="auto"/>
                <w:sz w:val="21"/>
                <w:szCs w:val="21"/>
              </w:rPr>
              <w:t xml:space="preserve">AC </w:t>
            </w:r>
            <w:r>
              <w:rPr>
                <w:rFonts w:hint="eastAsia" w:ascii="宋体" w:hAnsi="宋体" w:eastAsia="宋体" w:cs="宋体"/>
                <w:color w:val="auto"/>
                <w:sz w:val="21"/>
                <w:szCs w:val="21"/>
                <w:lang w:val="de-DE"/>
              </w:rPr>
              <w:t>380V</w:t>
            </w:r>
            <w:r>
              <w:rPr>
                <w:rFonts w:hint="eastAsia" w:ascii="宋体" w:hAnsi="宋体" w:eastAsia="宋体" w:cs="宋体"/>
                <w:color w:val="auto"/>
                <w:sz w:val="21"/>
                <w:szCs w:val="21"/>
              </w:rPr>
              <w:t xml:space="preserve"> 50HZ</w:t>
            </w:r>
            <w:r>
              <w:rPr>
                <w:rFonts w:hint="eastAsia" w:ascii="宋体" w:hAnsi="宋体" w:eastAsia="宋体" w:cs="宋体"/>
                <w:color w:val="auto"/>
                <w:sz w:val="21"/>
                <w:szCs w:val="21"/>
                <w:lang w:val="de-DE"/>
              </w:rPr>
              <w:t>，功率</w:t>
            </w:r>
            <w:r>
              <w:rPr>
                <w:rFonts w:hint="eastAsia" w:ascii="宋体" w:hAnsi="宋体" w:eastAsia="宋体" w:cs="宋体"/>
                <w:color w:val="auto"/>
                <w:sz w:val="21"/>
                <w:szCs w:val="21"/>
              </w:rPr>
              <w:t>≤10KW。</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b/>
                <w:color w:val="auto"/>
                <w:sz w:val="21"/>
                <w:szCs w:val="21"/>
                <w:lang w:val="de-DE"/>
              </w:rPr>
            </w:pPr>
            <w:r>
              <w:rPr>
                <w:rFonts w:hint="eastAsia" w:ascii="宋体" w:hAnsi="宋体" w:eastAsia="宋体" w:cs="宋体"/>
                <w:b/>
                <w:color w:val="auto"/>
                <w:sz w:val="21"/>
                <w:szCs w:val="21"/>
              </w:rPr>
              <w:t>七</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医用真空干燥柜      数量：1台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适用于：</w:t>
            </w:r>
            <w:r>
              <w:rPr>
                <w:rFonts w:hint="eastAsia" w:ascii="宋体" w:hAnsi="宋体" w:eastAsia="宋体" w:cs="宋体"/>
                <w:bCs/>
                <w:color w:val="auto"/>
                <w:kern w:val="0"/>
                <w:sz w:val="21"/>
                <w:szCs w:val="21"/>
              </w:rPr>
              <w:t>对外科手术器械、玻璃器皿、呼吸治疗物品进行干燥处理，特别适用于不耐高温的热敏性器械及细长高精密的管腔类器械，主要用于医疗器械和物品灭菌前的彻底干燥，方便器械包装灭菌。</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技术功能要求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设备底部配有4个万向轮，方便移动。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2.2</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设备舱体应该具有透明观察窗，可以实时观察器械干燥的情况。</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2.3</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总容积≥100L，具备两个相互独立的舱体，每个舱体都可以独立自动运行干燥程序，每个舱体容积≥</w:t>
            </w:r>
            <w:r>
              <w:rPr>
                <w:rFonts w:hint="eastAsia" w:ascii="宋体" w:hAnsi="宋体" w:cs="宋体"/>
                <w:bCs/>
                <w:color w:val="auto"/>
                <w:kern w:val="0"/>
                <w:sz w:val="21"/>
                <w:szCs w:val="21"/>
                <w:lang w:val="en-US" w:eastAsia="zh-CN"/>
              </w:rPr>
              <w:t>5</w:t>
            </w:r>
            <w:r>
              <w:rPr>
                <w:rFonts w:hint="eastAsia" w:ascii="宋体" w:hAnsi="宋体" w:eastAsia="宋体" w:cs="宋体"/>
                <w:bCs/>
                <w:color w:val="auto"/>
                <w:kern w:val="0"/>
                <w:sz w:val="21"/>
                <w:szCs w:val="21"/>
              </w:rPr>
              <w:t>0L。</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2.4</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舱体深度≥700mm，以便于干燥较长的器械。</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2.5</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舱体结构方型舱体，舱体材质为铝合金，具有优越的温度传导性能。</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2.6</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外壳采用SUS304不锈钢拉丝板折弯焊接成型，适合于消毒供应中心整体风格，易于清洁与维护。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2.7</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设备应有空气过滤装置，过滤精度0.3um或更优，可实现新风干燥。</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2.8</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单个舱体至少配置2个网状结构的SUS304不锈钢篮筐，网状结构不易存水，篮筐尺寸应不小于308*690*60mm（两层的尺寸），以便于放置更多的器械。也可选配其他规格的篮筐。</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2.9</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进口品牌PLC作为主控制器而非厂家自制的微电脑控制器（要求提供PLC原厂说明书及对应型号的CE认证）。</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2.10</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系统具有定时、智能、自定义三大类程序；定时程序≥9个，智能程序≥1个，自定义程序≥5个。提供国家级软件检测机构出具的检测报告，证实产品具有上述多种干燥程序。</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温度传感器的显示精度要求为0.1℃或更优。</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2.12</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采用进口品牌压力变送器，压力变送器的显示精度要求为0.1KPa或更优。</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2.13</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采用进口品牌电源，具有宽电压AC85-264V设计，可有效避免客户电源波动造成的性能差异。（提供CE认证）。</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2.14</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管理系统应设置有三级权限，能够更好的控制设备的正常运行。</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2.15</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为了保证系统的稳定性，系统应具备不少于6个中间继电器（额定容量不小于250VAC 5A），且继电器应采用进口品牌。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ind w:left="0" w:leftChars="0" w:firstLine="210" w:firstLineChars="100"/>
              <w:jc w:val="both"/>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2.16</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有物联网对接模块，可以远程进行维护支持。</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2.17</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为了实现设备在运行全过程中对于负压的全程实时精确采集及压力变送器长期使用的稳定，量程应选用绝压0-1Bar。</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2.18</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 外形尺寸要求：宽度≤540mm；高度≤1540mm。</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2.19</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应提供国家知识产权主管部门颁发的软件著作权登记证书，以证实制造商所提供设备具有独立自主知识产权。</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2.20</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提供设备制造厂家的ISO9001和ISO13485认证证书，提供ISO14001环境管理体系认证和OHSAS18001职业健康安全管理体系认证。</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电源要求：AC220±22V 功率≤3KW。</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b/>
                <w:color w:val="auto"/>
                <w:sz w:val="21"/>
                <w:szCs w:val="21"/>
                <w:lang w:val="de-DE"/>
              </w:rPr>
            </w:pPr>
            <w:r>
              <w:rPr>
                <w:rFonts w:hint="eastAsia" w:ascii="宋体" w:hAnsi="宋体" w:eastAsia="宋体" w:cs="宋体"/>
                <w:b/>
                <w:color w:val="auto"/>
                <w:sz w:val="21"/>
                <w:szCs w:val="21"/>
              </w:rPr>
              <w:t>八</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水处理系统   数量：1台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适用于：</w:t>
            </w:r>
            <w:r>
              <w:rPr>
                <w:rFonts w:hint="eastAsia" w:ascii="宋体" w:hAnsi="宋体" w:eastAsia="宋体" w:cs="宋体"/>
                <w:color w:val="auto"/>
                <w:sz w:val="21"/>
                <w:szCs w:val="21"/>
              </w:rPr>
              <w:t>医疗科室用水点提供纯水。</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技术功能要求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原水压力：0.2-0.4MPa（0.3MPa最佳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1"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2.2</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原水流量：≥3.0T/H。</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2.3</w:t>
            </w:r>
          </w:p>
        </w:tc>
        <w:tc>
          <w:tcPr>
            <w:tcW w:w="7514" w:type="dxa"/>
          </w:tcPr>
          <w:p>
            <w:pPr>
              <w:widowControl/>
              <w:spacing w:line="280" w:lineRule="exact"/>
              <w:jc w:val="left"/>
              <w:rPr>
                <w:rFonts w:hint="eastAsia" w:ascii="宋体" w:hAnsi="宋体" w:eastAsia="宋体" w:cs="宋体"/>
                <w:bCs/>
                <w:color w:val="auto"/>
                <w:kern w:val="0"/>
                <w:sz w:val="21"/>
                <w:szCs w:val="21"/>
                <w:lang w:val="de-DE"/>
              </w:rPr>
            </w:pPr>
            <w:r>
              <w:rPr>
                <w:rFonts w:hint="eastAsia" w:ascii="宋体" w:hAnsi="宋体" w:eastAsia="宋体" w:cs="宋体"/>
                <w:color w:val="auto"/>
                <w:sz w:val="21"/>
                <w:szCs w:val="21"/>
              </w:rPr>
              <w:t>原水硬度</w:t>
            </w:r>
            <w:r>
              <w:rPr>
                <w:rFonts w:hint="eastAsia" w:ascii="宋体" w:hAnsi="宋体" w:eastAsia="宋体" w:cs="宋体"/>
                <w:color w:val="auto"/>
                <w:sz w:val="21"/>
                <w:szCs w:val="21"/>
                <w:lang w:val="de-DE"/>
              </w:rPr>
              <w:t>：≤8 mmol/L。</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2.4</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原水进水温度：5～35℃  （25℃ 最佳）。</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2.5</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纯水产量：≥500L/H（25℃）。</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2.6</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纯水水质：电导率≤15us/cm（25℃）符合消毒供应中心用水规范。</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2.7</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设备电源：AC 380V/50Hz （三相五线制）。</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2.8</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设备功率：≤4KW。</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2.9</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设备工作环境温度： 2～45℃。</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2.10</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设备离子去除率：≥99%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设备水利用率：≥70%。</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2.12</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设备纯水箱储水量：≥500 L。</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2.13</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设备控制方式： 全自动控制，在线显示电导率。</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w:t>
            </w:r>
            <w:r>
              <w:rPr>
                <w:rFonts w:hint="eastAsia" w:ascii="宋体" w:hAnsi="宋体" w:eastAsia="宋体" w:cs="宋体"/>
                <w:color w:val="auto"/>
                <w:sz w:val="21"/>
                <w:szCs w:val="21"/>
              </w:rPr>
              <w:t>4</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外观结构形式： 集成一体化不锈钢框架</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b/>
                <w:color w:val="auto"/>
                <w:sz w:val="21"/>
                <w:szCs w:val="21"/>
                <w:lang w:val="de-DE"/>
              </w:rPr>
            </w:pPr>
            <w:r>
              <w:rPr>
                <w:rFonts w:hint="eastAsia" w:ascii="宋体" w:hAnsi="宋体" w:eastAsia="宋体" w:cs="宋体"/>
                <w:b/>
                <w:color w:val="auto"/>
                <w:sz w:val="21"/>
                <w:szCs w:val="21"/>
              </w:rPr>
              <w:t>九</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超声波清洗机   数量：1台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适用于;</w:t>
            </w:r>
            <w:r>
              <w:rPr>
                <w:rFonts w:hint="eastAsia" w:ascii="宋体" w:hAnsi="宋体" w:eastAsia="宋体" w:cs="宋体"/>
                <w:color w:val="auto"/>
                <w:sz w:val="21"/>
                <w:szCs w:val="21"/>
              </w:rPr>
              <w:t>用仪器、仪表、电子器件、半导体硅片、磁性材料、光学镜片及零配件、涤纶过滤芯、乳胶模具、医疗器械、玻璃品种器皿、几何形状复杂部件的深度清洗，特别对精密器械和带深孔、盲孔、凹凸面、缝隙的器械进行超声清洗。</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技术功能要求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容积：≥80L。</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2.2</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柜体、内胆等均需采用优质304#不锈钢材质。</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2.3</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设备工作频率：40KHZ、80KHZ、130KHZ。</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2.4</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定时器定时范围： 1～60min可调。</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2.5</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工作温度设定： 30℃—60℃。</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2.6</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振荡器为进口，振荡器数量≥26只。</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lang w:val="de-DE"/>
              </w:rPr>
              <w:t>2.7</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操作界面具有数码显示，轻触键操作，可设定清洗时间（1～60min），加热温度（30～60℃）和清洗模式。清洗模式可选择三频自动循环清洗，也可选单一频点清洗。</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2.8</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安全保护功能：漏电保护，缺液保护，过压保护，过热保护，负载开路、短路保护。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2.9</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清洗槽及洗栏材质必须采用304#优质不锈钢，周边嵌入柔性材料防尘降噪。</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2.10</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电源要求：单相220V 50HZ。</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lang w:val="de-DE"/>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b/>
                <w:color w:val="auto"/>
                <w:sz w:val="21"/>
                <w:szCs w:val="21"/>
                <w:lang w:val="de-DE"/>
              </w:rPr>
            </w:pPr>
            <w:r>
              <w:rPr>
                <w:rFonts w:hint="eastAsia" w:ascii="宋体" w:hAnsi="宋体" w:eastAsia="宋体" w:cs="宋体"/>
                <w:b/>
                <w:color w:val="auto"/>
                <w:sz w:val="21"/>
                <w:szCs w:val="21"/>
              </w:rPr>
              <w:t>十</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内镜清洗设备   数量：1套             </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适用于：</w:t>
            </w:r>
            <w:r>
              <w:rPr>
                <w:rFonts w:hint="eastAsia" w:ascii="宋体" w:hAnsi="宋体" w:eastAsia="宋体" w:cs="宋体"/>
                <w:bCs/>
                <w:color w:val="auto"/>
                <w:kern w:val="0"/>
                <w:sz w:val="21"/>
                <w:szCs w:val="21"/>
              </w:rPr>
              <w:t>专为内镜诊疗工作中对内镜清洗消毒的专用设备。</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技术功能要求</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台面主料为特种工程塑料（PMMA），经数次冷热加工塑料成型，面层质薄而坚硬，耐摩擦耐酸碱，光亮平滑，抗菌，易清洗。</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固层由塑料碳纤维胶合而成，起到加固台面、承重，安装固定作用；防止迸裂的作用，防止台面长期使用变形。</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台面支架选用全优质镜面不锈钢。</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单方槽长≤660mm×宽770mm；双方槽长≤1320mm×宽770mm；角方槽长≤760mm×宽770mm。设备整体总高度≤1780mm。</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背板、功能面板及灯箱，整体造型结构可按功能作用形成分体组合，便于设备的检修保养，搬迁和功能升级之用。</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防水柜门，宝石蓝钢化彩晶玻璃柜门。</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自动注流器  严格按国家卫生部2004年颁布的《内镜清洗消毒操作规范（2004版）》的标准，使用流动水，隐藏式设计，采用国际标准做法。工作表面清洁洁净，水注流系统可直接将净化后纯净水注入内镜，避免二次污染。能尽量使工作人员避免误操作，注流器高水压，低流量，适合不同管径内镜；脉冲冲洗提高清洗效果；清洗步骤完成可直接排出余水，故障维修简易快捷，使用成本低，真正体现人性化设计。</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高压供水器，电压：12V，电流：6A，水压：0.42Mpa，流量：5.0L/min，功率：≤65W。</w:t>
            </w:r>
          </w:p>
        </w:tc>
        <w:tc>
          <w:tcPr>
            <w:tcW w:w="819" w:type="dxa"/>
            <w:vAlign w:val="center"/>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专用水处理器，活性碳多层式渗透1um高精过滤，净化水质更保证内镜清洗安全，勿需常更换滤芯。</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2.10</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专用空气压缩机，工作方式：采用低噪音无油气泵，电压：AC220V，50Hz，电流≤5A，功率：≤550W，产气量：40L/min(0.4Mpa)，最大产气压力：0.7 Mpa，噪音＜58db，压力稳定，连接气枪使用，具有良好的吹干排气效果。</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2.1</w:t>
            </w:r>
            <w:r>
              <w:rPr>
                <w:rFonts w:hint="eastAsia" w:ascii="宋体" w:hAnsi="宋体" w:cs="宋体"/>
                <w:color w:val="auto"/>
                <w:sz w:val="21"/>
                <w:szCs w:val="21"/>
                <w:lang w:val="en-US" w:eastAsia="zh-CN"/>
              </w:rPr>
              <w:t>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内镜烘干机，对内窥镜管壁内水分进行干燥，可避免因与水接触受潮长菌的现象发生。</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2.1</w:t>
            </w:r>
            <w:r>
              <w:rPr>
                <w:rFonts w:hint="eastAsia" w:ascii="宋体" w:hAnsi="宋体" w:cs="宋体"/>
                <w:color w:val="auto"/>
                <w:sz w:val="21"/>
                <w:szCs w:val="21"/>
                <w:lang w:val="en-US" w:eastAsia="zh-CN"/>
              </w:rPr>
              <w:t>2</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高压水枪，特别针对硬镜不同径口清洗，可提供8种不同口径枪头，可调节水流量、水压、水冲力，设有专用安全防震环，避免管路不畅，高压水冲破内镜管壁。</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2.1</w:t>
            </w:r>
            <w:r>
              <w:rPr>
                <w:rFonts w:hint="eastAsia" w:ascii="宋体" w:hAnsi="宋体" w:cs="宋体"/>
                <w:color w:val="auto"/>
                <w:sz w:val="21"/>
                <w:szCs w:val="21"/>
                <w:lang w:val="en-US" w:eastAsia="zh-CN"/>
              </w:rPr>
              <w:t>3</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微电脑控制器，整体的设计简洁明快、不占用用操作空间。所有主要部件采用隐蔽方式布置，简便而功效强大。</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2.1</w:t>
            </w:r>
            <w:r>
              <w:rPr>
                <w:rFonts w:hint="eastAsia" w:ascii="宋体" w:hAnsi="宋体" w:cs="宋体"/>
                <w:color w:val="auto"/>
                <w:sz w:val="21"/>
                <w:szCs w:val="21"/>
                <w:lang w:val="en-US" w:eastAsia="zh-CN"/>
              </w:rPr>
              <w:t>4</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戊二醛气体解析器，消毒液散发出的气体，经由专门的泵抽出，进行分解，最后将残留物排进下水道，而非将其排入空气中，有效的保护了环境。</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2.1</w:t>
            </w:r>
            <w:r>
              <w:rPr>
                <w:rFonts w:hint="eastAsia" w:ascii="宋体" w:hAnsi="宋体" w:cs="宋体"/>
                <w:color w:val="auto"/>
                <w:sz w:val="21"/>
                <w:szCs w:val="21"/>
                <w:lang w:val="en-US" w:eastAsia="zh-CN"/>
              </w:rPr>
              <w:t>5</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专用水龙头，通过改进款式，并进行多层防腐处理，可以承受数年高酸碱恶劣环境的考验，管路同进具有耐腐蚀功能。</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2.1</w:t>
            </w:r>
            <w:r>
              <w:rPr>
                <w:rFonts w:hint="eastAsia" w:ascii="宋体" w:hAnsi="宋体" w:cs="宋体"/>
                <w:color w:val="auto"/>
                <w:sz w:val="21"/>
                <w:szCs w:val="21"/>
                <w:lang w:val="en-US" w:eastAsia="zh-CN"/>
              </w:rPr>
              <w:t>6</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供排水系统，优质PP-R供、排水管路。</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2.1</w:t>
            </w:r>
            <w:r>
              <w:rPr>
                <w:rFonts w:hint="eastAsia" w:ascii="宋体" w:hAnsi="宋体" w:cs="宋体"/>
                <w:color w:val="auto"/>
                <w:sz w:val="21"/>
                <w:szCs w:val="21"/>
                <w:lang w:val="en-US" w:eastAsia="zh-CN"/>
              </w:rPr>
              <w:t>7</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方槽盖，避免消毒液气体外散，减少人员刺激。</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2.1</w:t>
            </w:r>
            <w:r>
              <w:rPr>
                <w:rFonts w:hint="eastAsia" w:ascii="宋体" w:hAnsi="宋体" w:cs="宋体"/>
                <w:color w:val="auto"/>
                <w:sz w:val="21"/>
                <w:szCs w:val="21"/>
                <w:lang w:val="en-US" w:eastAsia="zh-CN"/>
              </w:rPr>
              <w:t>8</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超声波，数显控制，具有恒温功能。</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19</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快速接头，每槽的每个流程（注液、吸液等）均采用专用接头连接内镜的每个接口，最大化的为用户节约时间。</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lang w:val="en-US" w:eastAsia="zh-CN"/>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2.2</w:t>
            </w:r>
            <w:r>
              <w:rPr>
                <w:rFonts w:hint="eastAsia" w:ascii="宋体" w:hAnsi="宋体" w:cs="宋体"/>
                <w:color w:val="auto"/>
                <w:sz w:val="21"/>
                <w:szCs w:val="21"/>
                <w:lang w:val="en-US" w:eastAsia="zh-CN"/>
              </w:rPr>
              <w:t>0</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配置为嵌入式超声波一台，四个方槽，一个干燥台，具体配置根据实际场地需要。</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商务要求</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质保期≥2年,保修期内对设备进行维修保养不收取任何费用。维修人员接到故障电话后2小时内响应，最迟在24小时内到达最终用户现场实施维修。</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随机提供操作手册，提供操作规程和维护保养规程。</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保证零配件供应时间不少于8年。</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十一</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绝缘体检测仪   数量：1台          </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适用于：</w:t>
            </w:r>
            <w:r>
              <w:rPr>
                <w:rFonts w:hint="eastAsia" w:ascii="宋体" w:hAnsi="宋体" w:eastAsia="宋体" w:cs="宋体"/>
                <w:bCs/>
                <w:color w:val="auto"/>
                <w:kern w:val="0"/>
                <w:sz w:val="21"/>
                <w:szCs w:val="21"/>
              </w:rPr>
              <w:t>医院消毒供应中心、手术室、内镜室等科室现场对有源医疗器械进行内外绝缘或通断检测的专用绝缘检测仪器。</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技术功能要求</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Cs/>
                <w:color w:val="auto"/>
                <w:kern w:val="0"/>
                <w:sz w:val="21"/>
                <w:szCs w:val="21"/>
              </w:rPr>
              <w:t>显示屏：3.5 寸彩色触摸屏。</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14" w:type="dxa"/>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Cs/>
                <w:color w:val="auto"/>
                <w:kern w:val="0"/>
                <w:sz w:val="21"/>
                <w:szCs w:val="21"/>
              </w:rPr>
              <w:t>输出电压：0~5000V 可调。</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14" w:type="dxa"/>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Cs/>
                <w:color w:val="auto"/>
                <w:kern w:val="0"/>
                <w:sz w:val="21"/>
                <w:szCs w:val="21"/>
              </w:rPr>
              <w:t>高压输出电流：&lt;0.1mA。</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14" w:type="dxa"/>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Cs/>
                <w:color w:val="auto"/>
                <w:kern w:val="0"/>
                <w:sz w:val="21"/>
                <w:szCs w:val="21"/>
              </w:rPr>
              <w:t>平均功耗：</w:t>
            </w:r>
            <w:r>
              <w:rPr>
                <w:rFonts w:hint="eastAsia" w:ascii="宋体" w:hAnsi="宋体" w:eastAsia="宋体" w:cs="宋体"/>
                <w:color w:val="auto"/>
                <w:sz w:val="21"/>
                <w:szCs w:val="21"/>
              </w:rPr>
              <w:t>≤</w:t>
            </w:r>
            <w:r>
              <w:rPr>
                <w:rFonts w:hint="eastAsia" w:ascii="宋体" w:hAnsi="宋体" w:eastAsia="宋体" w:cs="宋体"/>
                <w:bCs/>
                <w:color w:val="auto"/>
                <w:kern w:val="0"/>
                <w:sz w:val="21"/>
                <w:szCs w:val="21"/>
              </w:rPr>
              <w:t>5W。</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输出电压精度：±1%。</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高压输出时间：0～20s。</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聚合物锂电池：3.7V/10000mAh。</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正常工作时间：≥48h。</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交流电源：220V±10% 50Hz。</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重量：≤3Kg。</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外形尺寸：≤395×300×125（长×宽×高）mm。</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工作环境温度 5℃～40℃。</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工作环境湿度≤80％(不结露)。</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存储使用环境温度：5℃～40℃，湿度：≤80%（R.H），大气压力：50kKPa～106kKPa。</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十二</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医用封口机    数量：1台         </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
                <w:bCs/>
                <w:color w:val="auto"/>
                <w:sz w:val="21"/>
                <w:szCs w:val="21"/>
              </w:rPr>
              <w:t>适用于：</w:t>
            </w:r>
            <w:r>
              <w:rPr>
                <w:rFonts w:hint="eastAsia" w:ascii="宋体" w:hAnsi="宋体" w:eastAsia="宋体" w:cs="宋体"/>
                <w:color w:val="auto"/>
                <w:sz w:val="21"/>
                <w:szCs w:val="21"/>
              </w:rPr>
              <w:t>纸塑袋的连续封口和参数打印。</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b/>
                <w:bCs/>
                <w:color w:val="auto"/>
                <w:sz w:val="21"/>
                <w:szCs w:val="21"/>
              </w:rPr>
              <w:t>技术功能要求</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打印起始边距可调，打印标徽可旋转180°。</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字体可选，字距可调，单行打印。</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从机身前换色带。</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2.4</w:t>
            </w:r>
          </w:p>
        </w:tc>
        <w:tc>
          <w:tcPr>
            <w:tcW w:w="7514" w:type="dxa"/>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打印功能可暂停，只保留封口功能。</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菜单液晶显示。</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2.6</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中文或英文等文字显示。</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批号可重设，计时、日历内置。</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候机时间可调（10-120分钟）。</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配置232接口，可连接PC和检测软件参数。</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2.10</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封口速度：≥10米/分钟。</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封口留边：5-30m m。</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2.12</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封口压缝宽：≤12mm。</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封口压缝距被包装物：＞30mm。</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2.14</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封口温度：微电脑控温80-220℃。</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5</w:t>
            </w:r>
          </w:p>
        </w:tc>
        <w:tc>
          <w:tcPr>
            <w:tcW w:w="7514" w:type="dxa"/>
            <w:vAlign w:val="center"/>
          </w:tcPr>
          <w:p>
            <w:pPr>
              <w:widowControl/>
              <w:spacing w:line="280" w:lineRule="exact"/>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电源：220V-240V，50Hz，≤500W。</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十三</w:t>
            </w:r>
          </w:p>
        </w:tc>
        <w:tc>
          <w:tcPr>
            <w:tcW w:w="7514" w:type="dxa"/>
            <w:vAlign w:val="center"/>
          </w:tcPr>
          <w:p>
            <w:pPr>
              <w:widowControl/>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不锈钢设备   数量：1批           </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适用于：</w:t>
            </w:r>
            <w:r>
              <w:rPr>
                <w:rFonts w:hint="eastAsia" w:ascii="宋体" w:hAnsi="宋体" w:eastAsia="宋体" w:cs="宋体"/>
                <w:color w:val="auto"/>
                <w:sz w:val="21"/>
                <w:szCs w:val="21"/>
              </w:rPr>
              <w:t>供应室去污区、灭菌区、无菌区手术器械敷料等，清洗、打包、灭菌及存放功能等相关不锈钢器械。</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配置要求</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514" w:type="dxa"/>
            <w:vAlign w:val="center"/>
          </w:tcPr>
          <w:p>
            <w:pPr>
              <w:widowControl/>
              <w:spacing w:line="280" w:lineRule="exact"/>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除上述设备以外，需另行配置：污物接收台*1、接收工作台*1、双槽污物清洗槽*3、清洗工作台*2、立式洗眼器*1、机械互锁传递窗*1、高压水枪*1、高压气枪*2、小车清洗机*2、物品下收车*2、器械检查打包台*2、干燥物品工作台*1、器械柜*3、多功能台*1、、电动升降传递窗*1、敷料（包布）检查打包台*1、不锈钢开架*2、包布车*1、发放工作台*1、篮筐存放架*4、灭菌篮筐*112、电动升降传递窗*1、电动升降互锁双通柜*1、机械互锁传递窗*2、敷料柜*4、电动升降传递窗*2、库房垫板*4、机械互锁传递窗*2、拆包台*1、无菌物品下送车*3、带光源放大镜*1，清洗篮筐*120，存放篮筐、灭菌篮筐</w:t>
            </w:r>
            <w:r>
              <w:rPr>
                <w:rFonts w:hint="eastAsia" w:ascii="宋体" w:hAnsi="宋体" w:cs="宋体"/>
                <w:color w:val="auto"/>
                <w:sz w:val="21"/>
                <w:szCs w:val="21"/>
                <w:lang w:eastAsia="zh-CN"/>
              </w:rPr>
              <w:t>等</w:t>
            </w:r>
            <w:r>
              <w:rPr>
                <w:rFonts w:hint="eastAsia" w:ascii="宋体" w:hAnsi="宋体" w:eastAsia="宋体" w:cs="宋体"/>
                <w:color w:val="auto"/>
                <w:sz w:val="21"/>
                <w:szCs w:val="21"/>
              </w:rPr>
              <w:t>部分不锈钢设备满足医院需求。</w:t>
            </w:r>
          </w:p>
        </w:tc>
        <w:tc>
          <w:tcPr>
            <w:tcW w:w="819" w:type="dxa"/>
          </w:tcPr>
          <w:p>
            <w:pPr>
              <w:widowControl/>
              <w:spacing w:line="280" w:lineRule="exact"/>
              <w:jc w:val="left"/>
              <w:rPr>
                <w:rFonts w:hint="eastAsia" w:ascii="宋体" w:hAnsi="宋体" w:eastAsia="宋体" w:cs="宋体"/>
                <w:color w:val="auto"/>
                <w:sz w:val="21"/>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1182" w:type="dxa"/>
            <w:vAlign w:val="center"/>
          </w:tcPr>
          <w:p>
            <w:pPr>
              <w:widowControl/>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14" w:type="dxa"/>
            <w:vAlign w:val="center"/>
          </w:tcPr>
          <w:p>
            <w:pPr>
              <w:widowControl/>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所有设备规格尺寸符合场地要求，一次性无菌物品库房124.78㎡，无菌物品存放241.5㎡，敷料库房100㎡，辅料制作154㎡，检查打包间591㎡，去污区435㎡。 </w:t>
            </w:r>
          </w:p>
        </w:tc>
        <w:tc>
          <w:tcPr>
            <w:tcW w:w="819" w:type="dxa"/>
          </w:tcPr>
          <w:p>
            <w:pPr>
              <w:widowControl/>
              <w:spacing w:line="280" w:lineRule="exact"/>
              <w:jc w:val="left"/>
              <w:rPr>
                <w:rFonts w:hint="eastAsia" w:ascii="宋体" w:hAnsi="宋体" w:eastAsia="宋体" w:cs="宋体"/>
                <w:color w:val="auto"/>
                <w:sz w:val="21"/>
                <w:szCs w:val="21"/>
                <w:lang w:val="de-DE"/>
              </w:rPr>
            </w:pPr>
          </w:p>
        </w:tc>
      </w:tr>
    </w:tbl>
    <w:p>
      <w:pPr>
        <w:widowControl/>
        <w:spacing w:line="280" w:lineRule="exact"/>
        <w:jc w:val="left"/>
        <w:rPr>
          <w:rFonts w:ascii="宋体" w:hAnsi="宋体"/>
          <w:color w:val="auto"/>
        </w:rPr>
      </w:pPr>
    </w:p>
    <w:tbl>
      <w:tblPr>
        <w:tblStyle w:val="21"/>
        <w:tblpPr w:vertAnchor="text" w:tblpX="-117" w:tblpY="84"/>
        <w:tblW w:w="9512"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7566"/>
        <w:gridCol w:w="82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double" w:color="auto" w:sz="4"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left="0" w:leftChars="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b/>
                <w:color w:val="auto"/>
                <w:sz w:val="21"/>
                <w:szCs w:val="21"/>
              </w:rPr>
            </w:pPr>
            <w:r>
              <w:rPr>
                <w:rFonts w:hint="eastAsia" w:ascii="宋体" w:hAnsi="宋体" w:cs="宋体"/>
                <w:b/>
                <w:bCs/>
                <w:color w:val="auto"/>
                <w:sz w:val="22"/>
              </w:rPr>
              <w:t>技术参数要求</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ind w:left="0" w:leftChars="0" w:firstLine="0" w:firstLineChars="0"/>
              <w:jc w:val="both"/>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28"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spacing w:line="280" w:lineRule="exact"/>
              <w:jc w:val="both"/>
              <w:rPr>
                <w:rFonts w:hint="eastAsia" w:ascii="宋体" w:hAnsi="宋体" w:eastAsia="宋体" w:cs="宋体"/>
                <w:b/>
                <w:color w:val="auto"/>
                <w:sz w:val="21"/>
                <w:szCs w:val="21"/>
              </w:rPr>
            </w:pPr>
            <w:r>
              <w:rPr>
                <w:rFonts w:hint="eastAsia" w:ascii="宋体" w:hAnsi="宋体" w:eastAsia="宋体" w:cs="宋体"/>
                <w:color w:val="auto"/>
                <w:sz w:val="21"/>
                <w:szCs w:val="21"/>
              </w:rPr>
              <w:t>一</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双人B2型生物安全柜      数量：</w:t>
            </w: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rPr>
              <w:t xml:space="preserve">台      </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spacing w:line="280" w:lineRule="exact"/>
              <w:jc w:val="left"/>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310"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spacing w:line="2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spacing w:line="28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适用于: 使用人员操作过程中对样品、操作者、环境的保护  </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spacing w:line="280" w:lineRule="exact"/>
              <w:jc w:val="left"/>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rPr>
                <w:rFonts w:hint="eastAsia" w:ascii="宋体" w:hAnsi="宋体" w:eastAsia="宋体" w:cs="宋体"/>
                <w:b/>
                <w:color w:val="auto"/>
                <w:sz w:val="21"/>
                <w:szCs w:val="21"/>
              </w:rPr>
            </w:pPr>
            <w:r>
              <w:rPr>
                <w:rFonts w:hint="eastAsia" w:ascii="宋体" w:hAnsi="宋体" w:eastAsia="宋体" w:cs="宋体"/>
                <w:b/>
                <w:color w:val="auto"/>
                <w:sz w:val="21"/>
                <w:szCs w:val="21"/>
              </w:rPr>
              <w:t>技术要求</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气流模式：100%外排，外排风量≥1270m³/小时。</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尺寸：整块工作台面,工作室操作长度≥1350mm,外形长度≥1500mm。</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过滤：主过滤器采用HEPA类型，截留效率≥99.9995%（对于≥0.12μm颗粒）；工作室洁净等级10级。</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在线实时监测并条形码显示高效过滤器的使用寿命，具有过滤器失效声光报警功能，保证安全性。</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柜体结构要求：一体成型的304＃不锈钢内壁，双层侧壁形成负压保护</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47"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前窗设计：采用人体工程学设计，操作前窗低度倾角，操作口采用一体化搁手架设计。</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2.7</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配备压差传感器，真实、实时测量风速。并实时监测操作区温度，能在操作面板上显示出来。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电动前窗，可任意调节高度，无需将头探入操作区可清洁玻璃内侧。</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安全性能：具备紫外系统、照明、前窗的连锁系统；具备低风速报警功能；具备前窗位置异位报警功能；具备前窗侧壁扰流系统，可避免泄漏</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2.10</w:t>
            </w:r>
          </w:p>
        </w:tc>
        <w:tc>
          <w:tcPr>
            <w:tcW w:w="7566" w:type="dxa"/>
            <w:tcBorders>
              <w:top w:val="single" w:color="000000" w:sz="4" w:space="0"/>
              <w:left w:val="single" w:color="000000" w:sz="4" w:space="0"/>
              <w:bottom w:val="single" w:color="000000" w:sz="4" w:space="0"/>
              <w:right w:val="single" w:color="000000" w:sz="4" w:space="0"/>
            </w:tcBorders>
            <w:vAlign w:val="center"/>
          </w:tcPr>
          <w:p>
            <w:pPr>
              <w:spacing w:before="75" w:after="75"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安全的连锁保护设计：对误操作均设置连锁保护，即使误操作，也不会造成伤害（1）安全柜风机与玻璃门互锁：当安全柜玻璃门落到最底部时，安全柜风机自动关闭，更改保护了安全柜的使用，增加了安全柜的使用寿命</w:t>
            </w:r>
          </w:p>
          <w:p>
            <w:pPr>
              <w:wordWrap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（2）紫外灯与安全柜玻璃门、风机及照明灯互锁：当玻璃落到底部且照明灯不开启时，紫外灯才能开启，防止紫外灯误操作对人体造成危害，更加保护了人员的安全。</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jc w:val="lef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left="0" w:leftChars="0" w:firstLine="210" w:firstLineChars="100"/>
              <w:jc w:val="both"/>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外排风机：外排风机须为单向出风交流风机，可以直接安装在房间吊顶中与净化管道对接。</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柜内电源：双防水插座设计，插座位于安全柜右侧，操作灵活方便</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left="0" w:leftChars="0" w:firstLine="210" w:firstLineChars="100"/>
              <w:jc w:val="both"/>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安全柜具有紫外灯预约功能，设置后将自动开启紫外灯，灭菌时间结束后自动关闭。</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shd w:val="clear" w:color="auto" w:fill="auto"/>
            <w:tcMar>
              <w:left w:w="70" w:type="dxa"/>
              <w:right w:w="70" w:type="dxa"/>
            </w:tcMar>
            <w:vAlign w:val="center"/>
          </w:tcPr>
          <w:p>
            <w:pPr>
              <w:wordWrap w:val="0"/>
              <w:snapToGrid w:val="0"/>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cs="宋体" w:asciiTheme="minorEastAsia" w:hAnsiTheme="minorEastAsia" w:eastAsiaTheme="minorEastAsia"/>
                <w:color w:val="auto"/>
                <w:szCs w:val="21"/>
              </w:rPr>
              <w:t>★</w:t>
            </w:r>
            <w:r>
              <w:rPr>
                <w:rFonts w:hint="eastAsia" w:ascii="宋体" w:hAnsi="宋体" w:eastAsia="宋体" w:cs="宋体"/>
                <w:sz w:val="21"/>
                <w:szCs w:val="21"/>
                <w:highlight w:val="none"/>
              </w:rPr>
              <w:t>2.14</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ind w:firstLine="420" w:firstLineChars="200"/>
              <w:rPr>
                <w:rFonts w:hint="eastAsia" w:ascii="宋体" w:hAnsi="宋体" w:eastAsia="宋体" w:cs="宋体"/>
                <w:color w:val="auto"/>
                <w:sz w:val="21"/>
                <w:szCs w:val="21"/>
                <w:highlight w:val="none"/>
              </w:rPr>
            </w:pPr>
            <w:r>
              <w:rPr>
                <w:rFonts w:ascii="Times New Roman" w:eastAsia="宋体"/>
                <w:sz w:val="21"/>
                <w:szCs w:val="21"/>
                <w:highlight w:val="none"/>
              </w:rPr>
              <w:t>安全柜</w:t>
            </w:r>
            <w:r>
              <w:rPr>
                <w:rFonts w:ascii="Times New Roman" w:eastAsia="宋体"/>
                <w:color w:val="auto"/>
                <w:sz w:val="21"/>
                <w:szCs w:val="21"/>
                <w:highlight w:val="none"/>
              </w:rPr>
              <w:t>顶部配</w:t>
            </w:r>
            <w:r>
              <w:rPr>
                <w:rFonts w:ascii="Times New Roman" w:eastAsia="宋体"/>
                <w:sz w:val="21"/>
                <w:szCs w:val="21"/>
                <w:highlight w:val="none"/>
              </w:rPr>
              <w:t>安装符合卫生部关于静配中心规范的活性炭吸附装置</w:t>
            </w:r>
            <w:r>
              <w:rPr>
                <w:rFonts w:hint="eastAsia"/>
                <w:b/>
                <w:bCs/>
                <w:sz w:val="21"/>
                <w:szCs w:val="21"/>
                <w:highlight w:val="none"/>
                <w:lang w:eastAsia="zh-CN"/>
              </w:rPr>
              <w:t>（投标现场提供过滤器材料样品）</w:t>
            </w:r>
            <w:r>
              <w:rPr>
                <w:rFonts w:ascii="Times New Roman" w:eastAsia="宋体"/>
                <w:sz w:val="21"/>
                <w:szCs w:val="21"/>
                <w:highlight w:val="none"/>
              </w:rPr>
              <w:t>且具有寿命显示及报警功能。</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shd w:val="clear" w:color="auto" w:fill="auto"/>
            <w:tcMar>
              <w:left w:w="70" w:type="dxa"/>
              <w:right w:w="70" w:type="dxa"/>
            </w:tcMar>
            <w:vAlign w:val="center"/>
          </w:tcPr>
          <w:p>
            <w:pPr>
              <w:wordWrap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2.15</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ind w:firstLine="420" w:firstLineChars="200"/>
              <w:rPr>
                <w:rFonts w:hint="eastAsia" w:ascii="宋体" w:hAnsi="宋体" w:eastAsia="宋体" w:cs="宋体"/>
                <w:color w:val="auto"/>
                <w:sz w:val="21"/>
                <w:szCs w:val="21"/>
                <w:highlight w:val="none"/>
              </w:rPr>
            </w:pPr>
            <w:r>
              <w:rPr>
                <w:rFonts w:ascii="Times New Roman" w:eastAsia="宋体"/>
                <w:sz w:val="21"/>
                <w:szCs w:val="21"/>
                <w:highlight w:val="none"/>
              </w:rPr>
              <w:t>安全柜需配置气体外排装置，与净化管道对接排出，并在管道中加装电动密闭阀与安全柜联动控制。</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shd w:val="clear" w:color="auto" w:fill="auto"/>
            <w:tcMar>
              <w:left w:w="70" w:type="dxa"/>
              <w:right w:w="70" w:type="dxa"/>
            </w:tcMar>
            <w:vAlign w:val="center"/>
          </w:tcPr>
          <w:p>
            <w:pPr>
              <w:wordWrap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2.16</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ind w:firstLine="420" w:firstLineChars="200"/>
              <w:rPr>
                <w:rFonts w:hint="eastAsia" w:ascii="宋体" w:hAnsi="宋体" w:eastAsia="宋体" w:cs="宋体"/>
                <w:color w:val="auto"/>
                <w:sz w:val="21"/>
                <w:szCs w:val="21"/>
                <w:highlight w:val="none"/>
              </w:rPr>
            </w:pPr>
            <w:r>
              <w:rPr>
                <w:rFonts w:eastAsia="宋体"/>
                <w:sz w:val="21"/>
                <w:szCs w:val="21"/>
                <w:highlight w:val="none"/>
              </w:rPr>
              <w:t>安全柜具备联动控制，能提供进风、排风控制系统与空气净化系统的联动输出信号</w:t>
            </w:r>
            <w:r>
              <w:rPr>
                <w:rFonts w:hint="eastAsia" w:eastAsia="宋体"/>
                <w:sz w:val="21"/>
                <w:szCs w:val="21"/>
                <w:highlight w:val="none"/>
                <w:lang w:eastAsia="zh-CN"/>
              </w:rPr>
              <w:t>。</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shd w:val="clear" w:color="auto" w:fill="auto"/>
            <w:tcMar>
              <w:left w:w="70" w:type="dxa"/>
              <w:right w:w="70" w:type="dxa"/>
            </w:tcMar>
            <w:vAlign w:val="center"/>
          </w:tcPr>
          <w:p>
            <w:pPr>
              <w:wordWrap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sz w:val="21"/>
                <w:szCs w:val="21"/>
              </w:rPr>
              <w:t>2.1</w:t>
            </w:r>
            <w:r>
              <w:rPr>
                <w:rFonts w:hint="eastAsia" w:ascii="宋体" w:hAnsi="宋体" w:eastAsia="宋体" w:cs="宋体"/>
                <w:sz w:val="21"/>
                <w:szCs w:val="21"/>
                <w:lang w:val="en-US" w:eastAsia="zh-CN"/>
              </w:rPr>
              <w:t>7</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噪音≤65分贝，照度：≥650lx. </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shd w:val="clear" w:color="auto" w:fill="auto"/>
            <w:tcMar>
              <w:left w:w="70" w:type="dxa"/>
              <w:right w:w="70" w:type="dxa"/>
            </w:tcMar>
            <w:vAlign w:val="center"/>
          </w:tcPr>
          <w:p>
            <w:pPr>
              <w:wordWrap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sz w:val="21"/>
                <w:szCs w:val="21"/>
                <w:lang w:val="en-US" w:eastAsia="zh-CN"/>
              </w:rPr>
              <w:t>2.18</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产品具有TUV 机构ISO9001质量管理认证、ISO14001环境管理体系认证、ISO13485、CE认证及医疗器械注册证。</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shd w:val="clear" w:color="000000" w:fill="auto"/>
            <w:tcMar>
              <w:left w:w="70" w:type="dxa"/>
              <w:right w:w="70" w:type="dxa"/>
            </w:tcMar>
            <w:vAlign w:val="center"/>
          </w:tcPr>
          <w:p>
            <w:pPr>
              <w:wordWrap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sz w:val="21"/>
                <w:szCs w:val="21"/>
                <w:lang w:val="en-US" w:eastAsia="zh-CN"/>
              </w:rPr>
              <w:t>2.19</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电源：≤1800W</w:t>
            </w:r>
            <w:r>
              <w:rPr>
                <w:rFonts w:hint="eastAsia" w:ascii="宋体" w:hAnsi="宋体" w:eastAsia="宋体" w:cs="宋体"/>
                <w:bCs/>
                <w:color w:val="auto"/>
                <w:sz w:val="21"/>
                <w:szCs w:val="21"/>
              </w:rPr>
              <w:t>（包含操作区插座负载50</w:t>
            </w:r>
            <w:r>
              <w:rPr>
                <w:rFonts w:hint="eastAsia" w:ascii="宋体" w:hAnsi="宋体" w:eastAsia="宋体" w:cs="宋体"/>
                <w:color w:val="auto"/>
                <w:sz w:val="21"/>
                <w:szCs w:val="21"/>
              </w:rPr>
              <w:t>0W）、三孔插座</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338" w:hRule="atLeast"/>
        </w:trPr>
        <w:tc>
          <w:tcPr>
            <w:tcW w:w="1125" w:type="dxa"/>
            <w:tcBorders>
              <w:top w:val="single" w:color="auto" w:sz="6" w:space="0"/>
              <w:left w:val="double" w:color="auto" w:sz="4" w:space="0"/>
              <w:bottom w:val="single" w:color="auto" w:sz="6" w:space="0"/>
              <w:right w:val="single" w:color="000000" w:sz="4" w:space="0"/>
            </w:tcBorders>
            <w:shd w:val="clear" w:color="000000" w:fill="auto"/>
            <w:tcMar>
              <w:left w:w="70" w:type="dxa"/>
              <w:right w:w="70" w:type="dxa"/>
            </w:tcMar>
            <w:vAlign w:val="center"/>
          </w:tcPr>
          <w:p>
            <w:pPr>
              <w:spacing w:line="2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67" w:hRule="atLeast"/>
        </w:trPr>
        <w:tc>
          <w:tcPr>
            <w:tcW w:w="1125" w:type="dxa"/>
            <w:tcBorders>
              <w:top w:val="single" w:color="auto" w:sz="6" w:space="0"/>
              <w:left w:val="double" w:color="auto" w:sz="4" w:space="0"/>
              <w:bottom w:val="single" w:color="auto" w:sz="6" w:space="0"/>
              <w:right w:val="single" w:color="000000" w:sz="4" w:space="0"/>
            </w:tcBorders>
            <w:shd w:val="clear" w:color="000000" w:fill="auto"/>
            <w:tcMar>
              <w:left w:w="70" w:type="dxa"/>
              <w:right w:w="70" w:type="dxa"/>
            </w:tcMar>
            <w:vAlign w:val="center"/>
          </w:tcPr>
          <w:p>
            <w:pPr>
              <w:spacing w:line="2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trPr>
        <w:tc>
          <w:tcPr>
            <w:tcW w:w="1125" w:type="dxa"/>
            <w:tcBorders>
              <w:top w:val="single" w:color="auto" w:sz="6" w:space="0"/>
              <w:left w:val="double" w:color="auto" w:sz="4" w:space="0"/>
              <w:bottom w:val="single" w:color="auto" w:sz="6" w:space="0"/>
              <w:right w:val="single" w:color="000000" w:sz="4" w:space="0"/>
            </w:tcBorders>
            <w:shd w:val="clear" w:color="000000" w:fill="auto"/>
            <w:tcMar>
              <w:left w:w="70" w:type="dxa"/>
              <w:right w:w="70" w:type="dxa"/>
            </w:tcMar>
            <w:vAlign w:val="center"/>
          </w:tcPr>
          <w:p>
            <w:pPr>
              <w:spacing w:line="2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trPr>
        <w:tc>
          <w:tcPr>
            <w:tcW w:w="1125" w:type="dxa"/>
            <w:tcBorders>
              <w:top w:val="single" w:color="auto" w:sz="6" w:space="0"/>
              <w:left w:val="double" w:color="auto" w:sz="4" w:space="0"/>
              <w:bottom w:val="single" w:color="auto" w:sz="6" w:space="0"/>
              <w:right w:val="single" w:color="000000" w:sz="4" w:space="0"/>
            </w:tcBorders>
            <w:shd w:val="clear" w:color="000000" w:fill="auto"/>
            <w:tcMar>
              <w:left w:w="70" w:type="dxa"/>
              <w:right w:w="70" w:type="dxa"/>
            </w:tcMar>
            <w:vAlign w:val="center"/>
          </w:tcPr>
          <w:p>
            <w:pPr>
              <w:spacing w:line="2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503" w:hRule="atLeast"/>
        </w:trPr>
        <w:tc>
          <w:tcPr>
            <w:tcW w:w="1125" w:type="dxa"/>
            <w:tcBorders>
              <w:top w:val="single" w:color="auto" w:sz="6" w:space="0"/>
              <w:left w:val="double" w:color="auto" w:sz="4" w:space="0"/>
              <w:bottom w:val="single" w:color="auto" w:sz="6" w:space="0"/>
              <w:right w:val="single" w:color="000000" w:sz="4" w:space="0"/>
            </w:tcBorders>
            <w:shd w:val="clear" w:color="000000" w:fill="auto"/>
            <w:tcMar>
              <w:left w:w="70" w:type="dxa"/>
              <w:right w:w="70" w:type="dxa"/>
            </w:tcMar>
            <w:vAlign w:val="center"/>
          </w:tcPr>
          <w:p>
            <w:pPr>
              <w:spacing w:line="2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66"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21"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8691" w:type="dxa"/>
            <w:gridSpan w:val="2"/>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双人A2型生物安全柜   数量： </w:t>
            </w:r>
            <w:r>
              <w:rPr>
                <w:rFonts w:hint="eastAsia" w:ascii="宋体" w:hAnsi="宋体" w:cs="宋体"/>
                <w:b/>
                <w:color w:val="auto"/>
                <w:sz w:val="21"/>
                <w:szCs w:val="21"/>
                <w:lang w:val="en-US" w:eastAsia="zh-CN"/>
              </w:rPr>
              <w:t>4</w:t>
            </w:r>
            <w:r>
              <w:rPr>
                <w:rFonts w:hint="eastAsia" w:ascii="宋体" w:hAnsi="宋体" w:eastAsia="宋体" w:cs="宋体"/>
                <w:b/>
                <w:color w:val="auto"/>
                <w:sz w:val="21"/>
                <w:szCs w:val="21"/>
              </w:rPr>
              <w:t xml:space="preserve">台   </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适用于: 使用人员操作过程中对样品、操作者、环境的保护</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技术要求</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566"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气流模式：A2：30%外排，70%循环</w:t>
            </w:r>
          </w:p>
        </w:tc>
        <w:tc>
          <w:tcPr>
            <w:tcW w:w="821"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9"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尺寸：整块工作台面,工作室操作长度 ≥1350mm,外形长度≥1500mm</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过滤：主过滤器采用HEPA类型，截留效率不低于≥99.9995%（对于≥0.12μm颗粒）；工作室洁净等级10级。</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在线实时监测并条形码显示高效过滤器的使用寿命，具有过滤器失效声光报警功能，保证安全性。</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柜体结构要求：一体成型的304＃不锈钢内壁，双层侧壁形成负压保护</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前窗设计：采用人体工程学设计，操作前窗低度倾角设计，操作口采用一体化搁手架设计。</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2.7</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配备压差传感器，真实、实时测量风速。并实时监测操作区温度，能在操作面板上显示出来。</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电动前窗，可任意调节高度，，无需将头探入操作区就可清洁玻璃内侧。</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安全性能：具备紫外线系统、照明、前窗的连锁系统；具备低风速报警功能、前窗位置异位报警功能；具备前窗侧壁扰流系统，可避免泄漏；柜内具有防溅插座。</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left="0" w:leftChars="0" w:firstLine="210" w:firstLineChars="100"/>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2.10</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安全柜具有紫外灯预约功能，设置后将自动开启紫外灯，灭菌时间结束后自动关闭。</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left="0" w:leftChars="0" w:firstLine="0" w:firstLineChars="0"/>
              <w:jc w:val="center"/>
              <w:rPr>
                <w:rFonts w:hint="eastAsia" w:ascii="宋体" w:hAnsi="宋体" w:eastAsia="宋体" w:cs="宋体"/>
                <w:color w:val="auto"/>
                <w:sz w:val="21"/>
                <w:szCs w:val="21"/>
                <w:highlight w:val="none"/>
              </w:rPr>
            </w:pPr>
            <w:bookmarkStart w:id="140" w:name="_GoBack"/>
            <w:bookmarkEnd w:id="140"/>
            <w:r>
              <w:rPr>
                <w:rFonts w:hint="eastAsia" w:cs="宋体" w:asciiTheme="minorEastAsia" w:hAnsiTheme="minorEastAsia" w:eastAsiaTheme="minorEastAsia"/>
                <w:color w:val="auto"/>
                <w:szCs w:val="21"/>
              </w:rPr>
              <w:t>★</w:t>
            </w:r>
            <w:r>
              <w:rPr>
                <w:rFonts w:hint="eastAsia" w:ascii="宋体" w:hAnsi="宋体" w:eastAsia="宋体" w:cs="宋体"/>
                <w:sz w:val="21"/>
                <w:szCs w:val="21"/>
                <w:highlight w:val="none"/>
              </w:rPr>
              <w:t>2.11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安全柜</w:t>
            </w:r>
            <w:r>
              <w:rPr>
                <w:rFonts w:hint="eastAsia" w:ascii="宋体" w:hAnsi="宋体" w:eastAsia="宋体" w:cs="宋体"/>
                <w:color w:val="auto"/>
                <w:sz w:val="21"/>
                <w:szCs w:val="21"/>
                <w:highlight w:val="none"/>
              </w:rPr>
              <w:t>顶部配</w:t>
            </w:r>
            <w:r>
              <w:rPr>
                <w:rFonts w:hint="eastAsia" w:ascii="宋体" w:hAnsi="宋体" w:eastAsia="宋体" w:cs="宋体"/>
                <w:sz w:val="21"/>
                <w:szCs w:val="21"/>
                <w:highlight w:val="none"/>
              </w:rPr>
              <w:t>安装符合卫生部关于静配中心规范的活性炭吸附装置</w:t>
            </w:r>
            <w:r>
              <w:rPr>
                <w:rFonts w:hint="eastAsia" w:ascii="宋体" w:hAnsi="宋体" w:cs="宋体"/>
                <w:sz w:val="21"/>
                <w:szCs w:val="21"/>
                <w:highlight w:val="none"/>
                <w:lang w:eastAsia="zh-CN"/>
              </w:rPr>
              <w:t>（</w:t>
            </w:r>
            <w:r>
              <w:rPr>
                <w:rFonts w:hint="eastAsia" w:ascii="宋体" w:hAnsi="宋体" w:cs="宋体"/>
                <w:b/>
                <w:bCs/>
                <w:sz w:val="21"/>
                <w:szCs w:val="21"/>
                <w:highlight w:val="none"/>
                <w:lang w:eastAsia="zh-CN"/>
              </w:rPr>
              <w:t>投标现场提供过滤器材料样品）</w:t>
            </w:r>
            <w:r>
              <w:rPr>
                <w:rFonts w:hint="eastAsia" w:ascii="宋体" w:hAnsi="宋体" w:eastAsia="宋体" w:cs="宋体"/>
                <w:sz w:val="21"/>
                <w:szCs w:val="21"/>
                <w:highlight w:val="none"/>
              </w:rPr>
              <w:t>且具有寿命显示及报警功能。</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2.12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安全柜需配置气体外排装置，与净化管道对接排出，并在管道中加装电动密闭阀与安全柜联动控制。</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2.13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安全柜具备联动控制，能提供进风、排风控制系统与空气净化系统的联动输出信号</w:t>
            </w:r>
            <w:r>
              <w:rPr>
                <w:rFonts w:hint="eastAsia" w:ascii="宋体" w:hAnsi="宋体" w:eastAsia="宋体" w:cs="宋体"/>
                <w:sz w:val="21"/>
                <w:szCs w:val="21"/>
                <w:highlight w:val="none"/>
                <w:lang w:eastAsia="zh-CN"/>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sz w:val="21"/>
                <w:szCs w:val="21"/>
              </w:rPr>
              <w:t>2.14</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柜内电源：双防水插座设计，插座位于安全柜右侧，操作灵活方便。</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2.15</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噪音≤65分贝，照度：≥650 lx.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2.16</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产品有良好的品质保证，具有TUV 机构ISO9001质量管理认证、ISO14001环境管理体系认证、ISO13485、CE认证及医疗器械注册证。</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2.17</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电源：≤1800W</w:t>
            </w:r>
            <w:r>
              <w:rPr>
                <w:rFonts w:hint="eastAsia" w:ascii="宋体" w:hAnsi="宋体" w:eastAsia="宋体" w:cs="宋体"/>
                <w:bCs/>
                <w:color w:val="auto"/>
                <w:sz w:val="21"/>
                <w:szCs w:val="21"/>
              </w:rPr>
              <w:t>（包含操作区插座负载50</w:t>
            </w:r>
            <w:r>
              <w:rPr>
                <w:rFonts w:hint="eastAsia" w:ascii="宋体" w:hAnsi="宋体" w:eastAsia="宋体" w:cs="宋体"/>
                <w:color w:val="auto"/>
                <w:sz w:val="21"/>
                <w:szCs w:val="21"/>
              </w:rPr>
              <w:t>0W）、三孔插座</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276" w:lineRule="auto"/>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8691" w:type="dxa"/>
            <w:gridSpan w:val="2"/>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p>
        </w:tc>
        <w:tc>
          <w:tcPr>
            <w:tcW w:w="821"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三</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洁净工作台（TPN配置）   数量： 4台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适用于：操作过程中对样品进行保护</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技术要求</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360" w:lineRule="auto"/>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层流方式：水平层流，上进风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工作区长度≥1700mm，外形长度≥1800mm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66" w:type="dxa"/>
            <w:tcBorders>
              <w:top w:val="single" w:color="000000" w:sz="4" w:space="0"/>
              <w:left w:val="single" w:color="000000" w:sz="4" w:space="0"/>
              <w:bottom w:val="single" w:color="000000" w:sz="4" w:space="0"/>
              <w:right w:val="single" w:color="000000" w:sz="4" w:space="0"/>
            </w:tcBorders>
            <w:vAlign w:val="center"/>
          </w:tcPr>
          <w:p>
            <w:pPr>
              <w:spacing w:before="75" w:after="75" w:line="500" w:lineRule="exact"/>
              <w:ind w:left="-210" w:leftChars="-100" w:firstLine="210" w:firstLineChars="1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过滤效率:过滤器均采用无隔板高效过滤器，对直径0.3μm颗粒过滤效率</w:t>
            </w:r>
          </w:p>
          <w:p>
            <w:pPr>
              <w:spacing w:before="75" w:after="75" w:line="500" w:lineRule="exact"/>
              <w:ind w:left="-210" w:leftChars="-100" w:firstLine="210" w:firstLineChars="100"/>
              <w:jc w:val="left"/>
              <w:rPr>
                <w:rFonts w:hint="eastAsia" w:ascii="宋体" w:hAnsi="宋体" w:eastAsia="宋体" w:cs="宋体"/>
                <w:color w:val="auto"/>
                <w:sz w:val="21"/>
                <w:szCs w:val="21"/>
              </w:rPr>
            </w:pPr>
            <w:r>
              <w:rPr>
                <w:rFonts w:hint="eastAsia" w:ascii="宋体" w:hAnsi="宋体" w:eastAsia="宋体" w:cs="宋体"/>
                <w:bCs/>
                <w:color w:val="auto"/>
                <w:sz w:val="21"/>
                <w:szCs w:val="21"/>
              </w:rPr>
              <w:t>为≥99.9995%；</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before="75" w:after="75" w:line="500" w:lineRule="exact"/>
              <w:ind w:left="-210" w:leftChars="-100" w:firstLine="210" w:firstLineChars="100"/>
              <w:jc w:val="left"/>
              <w:rPr>
                <w:rFonts w:hint="eastAsia" w:ascii="宋体" w:hAnsi="宋体" w:eastAsia="宋体" w:cs="宋体"/>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数显式控制界面, 轻触键操作, 可实现八档调速和显示风机、照明灯和紫外灯运行状态。</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2.5</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可设置紫外灯预约开启和关闭, 显示风机、紫外灯、过滤器累计运行时间</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2.6</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两侧采用嵌入式的钢化玻璃, 方便观察。</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工作台面采用一体成型的优质不锈钢,耐腐蚀, 易清洁。</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外箱体采用优质冷轧钢板配以静电粉末喷涂, 抗腐蚀能力强, 能有效地抑制柜体表面细菌滋生。</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万向转动优质脚轮,移动灵活,固定方便可靠。</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2.10</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照明和杀菌系统互锁功能，带备用插座设计，可断电保护功能。</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电源：≤500W、10A三孔插座</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具有医疗器械注册证。</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标配横杆和挂钩</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质保期≥2年,保修期内对设备进行维修保养不收取任何费用。维修人员接到故障电话后2小时内响应，最迟在24小时内到达最终用户现场实施维修。</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8691" w:type="dxa"/>
            <w:gridSpan w:val="2"/>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p>
        </w:tc>
        <w:tc>
          <w:tcPr>
            <w:tcW w:w="821"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四</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药品冷藏箱    数量： 1台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适用于：对药品、试剂进行冷藏保存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技术要求</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温度控制范围：2℃～8℃</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有效容积：≥1000L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外形尺寸：≥1220×860×1885mm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2.4</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压缩机：全封闭型≤245W（要求节能环保型）</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2.5</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蒸发器：铜管翅片式，强制空气冷却，冷凝水汇集后自动蒸发，免除人工处理冷凝水的烦恼。</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除霜方式：循环除霜方式+传感器感知除霜方式</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制冷方式：箱内空气强制循环式</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2"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cs="宋体" w:asciiTheme="minorEastAsia" w:hAnsiTheme="minorEastAsia" w:eastAsiaTheme="minorEastAsia"/>
                <w:color w:val="auto"/>
                <w:szCs w:val="21"/>
              </w:rPr>
              <w:t>★</w:t>
            </w:r>
            <w:r>
              <w:rPr>
                <w:rFonts w:hint="eastAsia" w:ascii="宋体" w:hAnsi="宋体" w:eastAsia="宋体" w:cs="宋体"/>
                <w:color w:val="auto"/>
                <w:sz w:val="21"/>
                <w:szCs w:val="21"/>
              </w:rPr>
              <w:t>2.8</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门：带电加热膜钢化玻璃门2扇，有效防止门体凝露，清晰观察箱内物品，保持地面干燥洁净。 </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28"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搁架：5层10个，多段调节式</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28"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2.10</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报警：高/低温报警，门未关闭报警，传感器故障报警，断电报警。</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内设LED照明，高亮节能。</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28"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7566"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外部材料：喷涂钢板，内部材料：喷涂钢板</w:t>
            </w:r>
          </w:p>
        </w:tc>
        <w:tc>
          <w:tcPr>
            <w:tcW w:w="821" w:type="dxa"/>
            <w:tcBorders>
              <w:top w:val="single" w:color="000000" w:sz="4" w:space="0"/>
              <w:left w:val="single" w:color="000000" w:sz="4" w:space="0"/>
              <w:bottom w:val="single" w:color="000000" w:sz="4" w:space="0"/>
              <w:right w:val="single" w:color="000000" w:sz="4" w:space="0"/>
            </w:tcBorders>
            <w:vAlign w:val="center"/>
          </w:tcPr>
          <w:p>
            <w:pPr>
              <w:wordWrap w:val="0"/>
              <w:snapToGrid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温控方式：微电脑控制，数字温度显示，调整增量为0.1℃</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28"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2.14</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具有脚轮，便于机器移动，底角设计固定方便，标配测试孔。</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28"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2.15</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具有医疗器械注册证</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电源≤10A三孔插座</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28"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300"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质保期≥2年,保修期内对设备进行维修保养不收取任何费用。维修人员接到故障电话后2小时内响应，最迟在24小时内到达最终用户现场实施维修。 </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28"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随机提供操作手册，提供操作规程和维护保养规程。</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保证零配件供应时间不少于8年。</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171" w:hRule="atLeast"/>
        </w:trPr>
        <w:tc>
          <w:tcPr>
            <w:tcW w:w="1125" w:type="dxa"/>
            <w:tcBorders>
              <w:top w:val="single" w:color="auto" w:sz="6" w:space="0"/>
              <w:left w:val="double" w:color="auto" w:sz="4" w:space="0"/>
              <w:bottom w:val="single" w:color="auto" w:sz="6" w:space="0"/>
              <w:right w:val="single" w:color="000000" w:sz="4" w:space="0"/>
            </w:tcBorders>
            <w:tcMar>
              <w:left w:w="70" w:type="dxa"/>
              <w:right w:w="70" w:type="dxa"/>
            </w:tcMar>
            <w:vAlign w:val="center"/>
          </w:tcPr>
          <w:p>
            <w:pPr>
              <w:wordWrap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7566"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操作和应用培训:对医院操作人员培训设备的使用操作规范、简单故障判断排除、设备保养常识及其他注意事项，使其能对设备进行熟练的操作；对医院维修人员培训设备操作使用规范、常见故障判断、维修保养常识、零部件更换步骤及其他注意事项，使其能对设备进行熟练的操作及一般故障的迅速排除。</w:t>
            </w:r>
          </w:p>
        </w:tc>
        <w:tc>
          <w:tcPr>
            <w:tcW w:w="821" w:type="dxa"/>
            <w:tcBorders>
              <w:top w:val="single" w:color="000000" w:sz="4" w:space="0"/>
              <w:left w:val="single" w:color="000000" w:sz="4" w:space="0"/>
              <w:bottom w:val="single" w:color="000000" w:sz="4" w:space="0"/>
              <w:right w:val="single" w:color="000000" w:sz="4" w:space="0"/>
            </w:tcBorders>
            <w:vAlign w:val="center"/>
          </w:tcPr>
          <w:p>
            <w:pPr>
              <w:tabs>
                <w:tab w:val="left" w:pos="312"/>
              </w:tabs>
              <w:wordWrap w:val="0"/>
              <w:spacing w:line="440" w:lineRule="exact"/>
              <w:rPr>
                <w:rFonts w:hint="eastAsia" w:ascii="宋体" w:hAnsi="宋体" w:eastAsia="宋体" w:cs="宋体"/>
                <w:color w:val="auto"/>
                <w:sz w:val="21"/>
                <w:szCs w:val="21"/>
              </w:rPr>
            </w:pPr>
          </w:p>
        </w:tc>
      </w:tr>
    </w:tbl>
    <w:p>
      <w:pPr>
        <w:ind w:firstLine="420"/>
        <w:rPr>
          <w:rFonts w:asciiTheme="minorEastAsia" w:hAnsiTheme="minorEastAsia" w:eastAsiaTheme="minorEastAsia"/>
          <w:color w:val="auto"/>
        </w:rPr>
      </w:pPr>
    </w:p>
    <w:tbl>
      <w:tblPr>
        <w:tblStyle w:val="21"/>
        <w:tblW w:w="9337" w:type="dxa"/>
        <w:tblInd w:w="0" w:type="dxa"/>
        <w:shd w:val="clear" w:color="auto" w:fill="auto"/>
        <w:tblLayout w:type="fixed"/>
        <w:tblCellMar>
          <w:top w:w="0" w:type="dxa"/>
          <w:left w:w="0" w:type="dxa"/>
          <w:bottom w:w="0" w:type="dxa"/>
          <w:right w:w="0" w:type="dxa"/>
        </w:tblCellMar>
      </w:tblPr>
      <w:tblGrid>
        <w:gridCol w:w="1327"/>
        <w:gridCol w:w="4635"/>
        <w:gridCol w:w="1755"/>
        <w:gridCol w:w="1620"/>
      </w:tblGrid>
      <w:tr>
        <w:tblPrEx>
          <w:shd w:val="clear" w:color="auto" w:fill="auto"/>
          <w:tblLayout w:type="fixed"/>
          <w:tblCellMar>
            <w:top w:w="0" w:type="dxa"/>
            <w:left w:w="0" w:type="dxa"/>
            <w:bottom w:w="0" w:type="dxa"/>
            <w:right w:w="0" w:type="dxa"/>
          </w:tblCellMar>
        </w:tblPrEx>
        <w:trPr>
          <w:trHeight w:val="285" w:hRule="atLeast"/>
        </w:trPr>
        <w:tc>
          <w:tcPr>
            <w:tcW w:w="9337" w:type="dxa"/>
            <w:gridSpan w:val="4"/>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设备数量汇总表</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脉动真空灭菌器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低温过氧化氢灭菌器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快速清洗消毒机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追溯系统</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酸性氧化电位水</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双门医用干燥柜</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医用真空干燥柜</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水处理系统</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超声波清洗机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内镜清洗设备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绝缘体检测仪</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医用封口机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不锈钢设备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双人B2型生物安全柜</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双人A2型生物安全柜</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洁净工作台</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药品冷藏箱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pStyle w:val="2"/>
      </w:pPr>
    </w:p>
    <w:p>
      <w:pPr>
        <w:pStyle w:val="5"/>
        <w:rPr>
          <w:rFonts w:cs="宋体" w:asciiTheme="minorEastAsia" w:hAnsiTheme="minorEastAsia" w:eastAsiaTheme="minorEastAsia"/>
          <w:color w:val="auto"/>
          <w:szCs w:val="21"/>
        </w:rPr>
      </w:pPr>
      <w:bookmarkStart w:id="89" w:name="_Toc27106"/>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本项目核心产品</w:t>
      </w:r>
      <w:bookmarkEnd w:id="89"/>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低温灭菌器</w:t>
      </w:r>
    </w:p>
    <w:p>
      <w:pPr>
        <w:pStyle w:val="5"/>
        <w:rPr>
          <w:rFonts w:cs="宋体" w:asciiTheme="minorEastAsia" w:hAnsiTheme="minorEastAsia" w:eastAsiaTheme="minorEastAsia"/>
          <w:color w:val="auto"/>
          <w:szCs w:val="21"/>
        </w:rPr>
      </w:pPr>
      <w:bookmarkStart w:id="90" w:name="_Toc179"/>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强制采购</w:t>
      </w:r>
      <w:bookmarkEnd w:id="90"/>
    </w:p>
    <w:p>
      <w:pPr>
        <w:ind w:firstLine="420"/>
        <w:rPr>
          <w:rFonts w:asciiTheme="minorEastAsia" w:hAnsiTheme="minorEastAsia" w:eastAsiaTheme="minorEastAsia"/>
          <w:color w:val="auto"/>
        </w:rPr>
      </w:pPr>
      <w:bookmarkStart w:id="91" w:name="_Hlk8684848"/>
      <w:r>
        <w:rPr>
          <w:rFonts w:hint="eastAsia" w:asciiTheme="minorEastAsia" w:hAnsiTheme="minorEastAsia" w:eastAsiaTheme="minorEastAsia"/>
          <w:color w:val="auto"/>
        </w:rPr>
        <w:t>根据财政部和国家发展改革委员会（财库〔2019〕19号）《节能产品政府采购品目清单》的规定，采购人采购需求范围内的产品有属于《节能产品政府采购品目清单》中政府强制采购产品的，投标人必须提供具有节能产品认证证书的符合要求的产品，否则，其投标作为无效投标处理。（国家确定的认证机构出具的、处于有效期内的该节能产品认证证书复印件，盖投标人公章。）</w:t>
      </w:r>
    </w:p>
    <w:bookmarkEnd w:id="88"/>
    <w:bookmarkEnd w:id="91"/>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r>
        <w:rPr>
          <w:rFonts w:hint="eastAsia" w:cs="宋体" w:asciiTheme="minorEastAsia" w:hAnsiTheme="minorEastAsia" w:eastAsiaTheme="minorEastAsia"/>
          <w:b/>
          <w:bCs/>
          <w:color w:val="auto"/>
          <w:szCs w:val="21"/>
          <w:lang w:eastAsia="zh-CN"/>
        </w:rPr>
        <w:t>“</w:t>
      </w:r>
      <w:r>
        <w:rPr>
          <w:rFonts w:hint="eastAsia"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lang w:eastAsia="zh-CN"/>
        </w:rPr>
        <w:t>”为重要条款</w:t>
      </w:r>
      <w:r>
        <w:rPr>
          <w:rFonts w:hint="eastAsia" w:cs="宋体" w:asciiTheme="minorEastAsia" w:hAnsiTheme="minorEastAsia" w:eastAsiaTheme="minorEastAsia"/>
          <w:b/>
          <w:bCs/>
          <w:color w:val="auto"/>
          <w:szCs w:val="21"/>
        </w:rPr>
        <w:t>。</w:t>
      </w:r>
    </w:p>
    <w:p>
      <w:pPr>
        <w:pStyle w:val="4"/>
        <w:ind w:firstLine="0" w:firstLineChars="0"/>
        <w:rPr>
          <w:rFonts w:asciiTheme="minorEastAsia" w:hAnsiTheme="minorEastAsia" w:eastAsiaTheme="minorEastAsia"/>
          <w:color w:val="auto"/>
          <w:sz w:val="32"/>
          <w:szCs w:val="32"/>
        </w:rPr>
      </w:pPr>
      <w:bookmarkStart w:id="92" w:name="_Toc450840086"/>
      <w:r>
        <w:rPr>
          <w:rFonts w:hint="eastAsia" w:asciiTheme="minorEastAsia" w:hAnsiTheme="minorEastAsia" w:eastAsiaTheme="minorEastAsia"/>
          <w:color w:val="auto"/>
        </w:rPr>
        <w:br w:type="page"/>
      </w:r>
      <w:bookmarkStart w:id="93" w:name="_Toc9441"/>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rPr>
      </w:pPr>
      <w:bookmarkStart w:id="94" w:name="_Toc23714"/>
      <w:r>
        <w:rPr>
          <w:rFonts w:hint="eastAsia" w:cs="宋体" w:asciiTheme="minorEastAsia" w:hAnsiTheme="minorEastAsia" w:eastAsiaTheme="minorEastAsia"/>
          <w:color w:val="auto"/>
        </w:rPr>
        <w:t>1交货期</w:t>
      </w:r>
      <w:bookmarkEnd w:id="94"/>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合同签订之日起</w:t>
      </w:r>
      <w:r>
        <w:rPr>
          <w:rFonts w:hint="eastAsia" w:cs="宋体" w:asciiTheme="minorEastAsia" w:hAnsiTheme="minorEastAsia" w:eastAsiaTheme="minorEastAsia"/>
          <w:color w:val="auto"/>
          <w:lang w:eastAsia="zh-CN"/>
        </w:rPr>
        <w:t>国产产品</w:t>
      </w:r>
      <w:r>
        <w:rPr>
          <w:rFonts w:hint="eastAsia" w:cs="宋体" w:asciiTheme="minorEastAsia" w:hAnsiTheme="minorEastAsia" w:eastAsiaTheme="minorEastAsia"/>
          <w:color w:val="auto"/>
        </w:rPr>
        <w:t>要求</w:t>
      </w:r>
      <w:r>
        <w:rPr>
          <w:rFonts w:hint="eastAsia" w:cs="宋体" w:asciiTheme="minorEastAsia" w:hAnsiTheme="minorEastAsia" w:eastAsiaTheme="minorEastAsia"/>
          <w:color w:val="auto"/>
          <w:lang w:val="en-US" w:eastAsia="zh-CN"/>
        </w:rPr>
        <w:t>30</w:t>
      </w:r>
      <w:r>
        <w:rPr>
          <w:rFonts w:hint="eastAsia" w:cs="宋体" w:asciiTheme="minorEastAsia" w:hAnsiTheme="minorEastAsia" w:eastAsiaTheme="minorEastAsia"/>
          <w:color w:val="auto"/>
        </w:rPr>
        <w:t>日内交货</w:t>
      </w:r>
      <w:r>
        <w:rPr>
          <w:rFonts w:hint="eastAsia" w:cs="宋体" w:asciiTheme="minorEastAsia" w:hAnsiTheme="minorEastAsia" w:eastAsiaTheme="minorEastAsia"/>
          <w:color w:val="auto"/>
          <w:lang w:eastAsia="zh-CN"/>
        </w:rPr>
        <w:t>；进口产品要求</w:t>
      </w:r>
      <w:r>
        <w:rPr>
          <w:rFonts w:hint="eastAsia" w:cs="宋体" w:asciiTheme="minorEastAsia" w:hAnsiTheme="minorEastAsia" w:eastAsiaTheme="minorEastAsia"/>
          <w:color w:val="auto"/>
          <w:lang w:val="en-US" w:eastAsia="zh-CN"/>
        </w:rPr>
        <w:t>90日内交货</w:t>
      </w:r>
      <w:r>
        <w:rPr>
          <w:rFonts w:hint="eastAsia" w:cs="宋体" w:asciiTheme="minorEastAsia" w:hAnsiTheme="minorEastAsia" w:eastAsiaTheme="minorEastAsia"/>
          <w:color w:val="auto"/>
        </w:rPr>
        <w:t>。</w:t>
      </w:r>
    </w:p>
    <w:p>
      <w:pPr>
        <w:pStyle w:val="5"/>
        <w:rPr>
          <w:rFonts w:cs="宋体" w:asciiTheme="minorEastAsia" w:hAnsiTheme="minorEastAsia" w:eastAsiaTheme="minorEastAsia"/>
          <w:color w:val="auto"/>
        </w:rPr>
      </w:pPr>
      <w:bookmarkStart w:id="95" w:name="_Toc28144"/>
      <w:r>
        <w:rPr>
          <w:rFonts w:hint="eastAsia" w:cs="宋体" w:asciiTheme="minorEastAsia" w:hAnsiTheme="minorEastAsia" w:eastAsiaTheme="minorEastAsia"/>
          <w:color w:val="auto"/>
        </w:rPr>
        <w:t>2交货地址</w:t>
      </w:r>
      <w:bookmarkEnd w:id="95"/>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采购人指定地址。</w:t>
      </w:r>
    </w:p>
    <w:p>
      <w:pPr>
        <w:pStyle w:val="5"/>
        <w:rPr>
          <w:rFonts w:cs="宋体" w:asciiTheme="minorEastAsia" w:hAnsiTheme="minorEastAsia" w:eastAsiaTheme="minorEastAsia"/>
          <w:color w:val="auto"/>
        </w:rPr>
      </w:pPr>
      <w:bookmarkStart w:id="96" w:name="_Toc24581"/>
      <w:r>
        <w:rPr>
          <w:rFonts w:hint="eastAsia" w:cs="宋体" w:asciiTheme="minorEastAsia" w:hAnsiTheme="minorEastAsia" w:eastAsiaTheme="minorEastAsia"/>
          <w:color w:val="auto"/>
        </w:rPr>
        <w:t>3保存和运输要求</w:t>
      </w:r>
      <w:bookmarkEnd w:id="96"/>
    </w:p>
    <w:p>
      <w:pPr>
        <w:ind w:firstLine="420"/>
        <w:rPr>
          <w:rFonts w:hint="eastAsia" w:asciiTheme="minorEastAsia" w:hAnsiTheme="minorEastAsia" w:eastAsiaTheme="minorEastAsia"/>
          <w:color w:val="auto"/>
          <w:lang w:eastAsia="zh-CN"/>
        </w:rPr>
      </w:pPr>
      <w:r>
        <w:rPr>
          <w:rFonts w:hint="eastAsia"/>
          <w:color w:val="auto"/>
        </w:rPr>
        <w:t>送货至指定地点。</w:t>
      </w:r>
    </w:p>
    <w:p>
      <w:pPr>
        <w:pStyle w:val="5"/>
        <w:rPr>
          <w:rFonts w:cs="宋体" w:asciiTheme="minorEastAsia" w:hAnsiTheme="minorEastAsia" w:eastAsiaTheme="minorEastAsia"/>
          <w:color w:val="auto"/>
        </w:rPr>
      </w:pPr>
      <w:bookmarkStart w:id="97" w:name="_Toc26807"/>
      <w:r>
        <w:rPr>
          <w:rFonts w:hint="eastAsia" w:cs="宋体" w:asciiTheme="minorEastAsia" w:hAnsiTheme="minorEastAsia" w:eastAsiaTheme="minorEastAsia"/>
          <w:color w:val="auto"/>
        </w:rPr>
        <w:t>4安装和调试</w:t>
      </w:r>
      <w:bookmarkEnd w:id="97"/>
    </w:p>
    <w:p>
      <w:pPr>
        <w:ind w:firstLine="420"/>
        <w:rPr>
          <w:color w:val="auto"/>
        </w:rPr>
      </w:pPr>
      <w:r>
        <w:rPr>
          <w:rFonts w:hint="eastAsia"/>
          <w:color w:val="auto"/>
          <w:lang w:eastAsia="zh-CN"/>
        </w:rPr>
        <w:t>中标人</w:t>
      </w:r>
      <w:r>
        <w:rPr>
          <w:rFonts w:hint="eastAsia"/>
          <w:color w:val="auto"/>
        </w:rPr>
        <w:t>负责安装调试。</w:t>
      </w:r>
    </w:p>
    <w:p>
      <w:pPr>
        <w:pStyle w:val="5"/>
        <w:rPr>
          <w:rFonts w:cs="宋体" w:asciiTheme="minorEastAsia" w:hAnsiTheme="minorEastAsia" w:eastAsiaTheme="minorEastAsia"/>
          <w:color w:val="auto"/>
        </w:rPr>
      </w:pPr>
      <w:bookmarkStart w:id="98" w:name="_Toc32508"/>
      <w:r>
        <w:rPr>
          <w:rFonts w:hint="eastAsia" w:cs="宋体" w:asciiTheme="minorEastAsia" w:hAnsiTheme="minorEastAsia" w:eastAsiaTheme="minorEastAsia"/>
          <w:color w:val="auto"/>
        </w:rPr>
        <w:t>5验收标准</w:t>
      </w:r>
      <w:bookmarkEnd w:id="98"/>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中标人须按国家有关规定及标准完成本次招标货物的供货、运输、检验等。如中标，中标人对中标产品使用的质量、安全性能与检测结果的可靠性负全部责任。按</w:t>
      </w:r>
      <w:r>
        <w:rPr>
          <w:rFonts w:hint="eastAsia" w:cs="宋体" w:asciiTheme="minorEastAsia" w:hAnsiTheme="minorEastAsia" w:eastAsiaTheme="minorEastAsia"/>
          <w:color w:val="auto"/>
          <w:lang w:eastAsia="zh-CN"/>
        </w:rPr>
        <w:t>浙江康复医院</w:t>
      </w:r>
      <w:r>
        <w:rPr>
          <w:rFonts w:hint="eastAsia" w:cs="宋体" w:asciiTheme="minorEastAsia" w:hAnsiTheme="minorEastAsia" w:eastAsiaTheme="minorEastAsia"/>
          <w:color w:val="auto"/>
        </w:rPr>
        <w:t>标准验收和确认。</w:t>
      </w:r>
    </w:p>
    <w:p>
      <w:pPr>
        <w:pStyle w:val="5"/>
        <w:rPr>
          <w:rFonts w:cs="宋体" w:asciiTheme="minorEastAsia" w:hAnsiTheme="minorEastAsia" w:eastAsiaTheme="minorEastAsia"/>
          <w:color w:val="auto"/>
        </w:rPr>
      </w:pPr>
      <w:bookmarkStart w:id="99" w:name="_Toc908"/>
      <w:r>
        <w:rPr>
          <w:rFonts w:hint="eastAsia" w:cs="宋体" w:asciiTheme="minorEastAsia" w:hAnsiTheme="minorEastAsia" w:eastAsiaTheme="minorEastAsia"/>
          <w:color w:val="auto"/>
        </w:rPr>
        <w:t>6质保期</w:t>
      </w:r>
      <w:bookmarkEnd w:id="99"/>
    </w:p>
    <w:p>
      <w:pPr>
        <w:ind w:firstLine="42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详见</w:t>
      </w:r>
      <w:r>
        <w:rPr>
          <w:rFonts w:hint="eastAsia" w:ascii="宋体" w:hAnsi="宋体" w:eastAsia="宋体" w:cs="宋体"/>
          <w:b w:val="0"/>
          <w:bCs w:val="0"/>
          <w:color w:val="auto"/>
          <w:sz w:val="21"/>
          <w:szCs w:val="21"/>
        </w:rPr>
        <w:t>技术参数要求。</w:t>
      </w:r>
    </w:p>
    <w:p>
      <w:pPr>
        <w:pStyle w:val="5"/>
        <w:rPr>
          <w:rFonts w:cs="宋体" w:asciiTheme="minorEastAsia" w:hAnsiTheme="minorEastAsia" w:eastAsiaTheme="minorEastAsia"/>
          <w:color w:val="auto"/>
        </w:rPr>
      </w:pPr>
      <w:bookmarkStart w:id="100" w:name="_Toc22130"/>
      <w:r>
        <w:rPr>
          <w:rFonts w:hint="eastAsia" w:cs="宋体" w:asciiTheme="minorEastAsia" w:hAnsiTheme="minorEastAsia" w:eastAsiaTheme="minorEastAsia"/>
          <w:color w:val="auto"/>
        </w:rPr>
        <w:t>7履约保证金</w:t>
      </w:r>
      <w:bookmarkEnd w:id="100"/>
    </w:p>
    <w:p>
      <w:pPr>
        <w:pStyle w:val="5"/>
        <w:ind w:firstLine="420" w:firstLineChars="200"/>
        <w:rPr>
          <w:rFonts w:hint="eastAsia" w:ascii="宋体" w:hAnsi="宋体" w:eastAsia="宋体" w:cs="宋体"/>
          <w:b w:val="0"/>
          <w:bCs w:val="0"/>
          <w:color w:val="auto"/>
        </w:rPr>
      </w:pPr>
      <w:bookmarkStart w:id="101" w:name="_Toc22511"/>
      <w:r>
        <w:rPr>
          <w:rFonts w:hint="eastAsia" w:ascii="宋体" w:hAnsi="宋体" w:eastAsia="宋体" w:cs="宋体"/>
          <w:b w:val="0"/>
          <w:bCs w:val="0"/>
          <w:color w:val="auto"/>
        </w:rPr>
        <w:t>见供应商须知前附表</w:t>
      </w:r>
      <w:bookmarkEnd w:id="101"/>
    </w:p>
    <w:p>
      <w:pPr>
        <w:pStyle w:val="5"/>
        <w:rPr>
          <w:rFonts w:cs="宋体" w:asciiTheme="minorEastAsia" w:hAnsiTheme="minorEastAsia" w:eastAsiaTheme="minorEastAsia"/>
          <w:color w:val="auto"/>
        </w:rPr>
      </w:pPr>
      <w:bookmarkStart w:id="102" w:name="_Toc20766"/>
      <w:r>
        <w:rPr>
          <w:rFonts w:hint="eastAsia" w:cs="宋体" w:asciiTheme="minorEastAsia" w:hAnsiTheme="minorEastAsia" w:eastAsiaTheme="minorEastAsia"/>
          <w:color w:val="auto"/>
        </w:rPr>
        <w:t>8付款方式</w:t>
      </w:r>
      <w:bookmarkEnd w:id="102"/>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合同签订后预付合同总价的</w:t>
      </w:r>
      <w:r>
        <w:rPr>
          <w:rFonts w:hint="eastAsia" w:cs="宋体" w:asciiTheme="minorEastAsia" w:hAnsiTheme="minorEastAsia" w:eastAsiaTheme="minorEastAsia"/>
          <w:color w:val="auto"/>
          <w:lang w:val="en-US" w:eastAsia="zh-CN"/>
        </w:rPr>
        <w:t>20</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lang w:eastAsia="zh-CN"/>
        </w:rPr>
        <w:t>发货后凭发货单</w:t>
      </w:r>
      <w:r>
        <w:rPr>
          <w:rFonts w:hint="eastAsia" w:cs="宋体" w:asciiTheme="minorEastAsia" w:hAnsiTheme="minorEastAsia" w:eastAsiaTheme="minorEastAsia"/>
          <w:color w:val="auto"/>
        </w:rPr>
        <w:t>支付合同总价的</w:t>
      </w:r>
      <w:r>
        <w:rPr>
          <w:rFonts w:hint="eastAsia" w:cs="宋体" w:asciiTheme="minorEastAsia" w:hAnsiTheme="minorEastAsia" w:eastAsiaTheme="minorEastAsia"/>
          <w:color w:val="auto"/>
          <w:lang w:val="en-US" w:eastAsia="zh-CN"/>
        </w:rPr>
        <w:t>30</w:t>
      </w:r>
      <w:r>
        <w:rPr>
          <w:rFonts w:hint="eastAsia" w:cs="宋体" w:asciiTheme="minorEastAsia" w:hAnsiTheme="minorEastAsia" w:eastAsiaTheme="minorEastAsia"/>
          <w:color w:val="auto"/>
        </w:rPr>
        <w:t>％，货到验</w:t>
      </w:r>
      <w:r>
        <w:rPr>
          <w:rFonts w:hint="eastAsia" w:cs="宋体" w:asciiTheme="minorEastAsia" w:hAnsiTheme="minorEastAsia" w:eastAsiaTheme="minorEastAsia"/>
          <w:color w:val="auto"/>
          <w:lang w:eastAsia="zh-CN"/>
        </w:rPr>
        <w:t>收</w:t>
      </w:r>
      <w:r>
        <w:rPr>
          <w:rFonts w:hint="eastAsia" w:cs="宋体" w:asciiTheme="minorEastAsia" w:hAnsiTheme="minorEastAsia" w:eastAsiaTheme="minorEastAsia"/>
          <w:color w:val="auto"/>
        </w:rPr>
        <w:t>合格后支付至合同总价的</w:t>
      </w:r>
      <w:r>
        <w:rPr>
          <w:rFonts w:hint="eastAsia" w:cs="宋体" w:asciiTheme="minorEastAsia" w:hAnsiTheme="minorEastAsia" w:eastAsiaTheme="minorEastAsia"/>
          <w:color w:val="auto"/>
          <w:lang w:val="en-US" w:eastAsia="zh-CN"/>
        </w:rPr>
        <w:t>100</w:t>
      </w:r>
      <w:r>
        <w:rPr>
          <w:rFonts w:hint="eastAsia" w:cs="宋体" w:asciiTheme="minorEastAsia" w:hAnsiTheme="minorEastAsia" w:eastAsiaTheme="minorEastAsia"/>
          <w:color w:val="auto"/>
        </w:rPr>
        <w:t>％。</w:t>
      </w:r>
    </w:p>
    <w:p>
      <w:pPr>
        <w:pStyle w:val="5"/>
        <w:rPr>
          <w:rFonts w:cs="宋体" w:asciiTheme="minorEastAsia" w:hAnsiTheme="minorEastAsia" w:eastAsiaTheme="minorEastAsia"/>
          <w:color w:val="auto"/>
        </w:rPr>
      </w:pPr>
      <w:bookmarkStart w:id="103" w:name="_Toc26633"/>
      <w:r>
        <w:rPr>
          <w:rFonts w:hint="eastAsia" w:cs="宋体" w:asciiTheme="minorEastAsia" w:hAnsiTheme="minorEastAsia" w:eastAsiaTheme="minorEastAsia"/>
          <w:color w:val="auto"/>
        </w:rPr>
        <w:t>9售后服务</w:t>
      </w:r>
      <w:bookmarkEnd w:id="103"/>
    </w:p>
    <w:p>
      <w:pPr>
        <w:ind w:firstLine="42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详见</w:t>
      </w:r>
      <w:r>
        <w:rPr>
          <w:rFonts w:hint="eastAsia" w:ascii="宋体" w:hAnsi="宋体" w:eastAsia="宋体" w:cs="宋体"/>
          <w:b w:val="0"/>
          <w:bCs w:val="0"/>
          <w:color w:val="auto"/>
          <w:sz w:val="21"/>
          <w:szCs w:val="21"/>
        </w:rPr>
        <w:t>技术参数要求。</w:t>
      </w:r>
    </w:p>
    <w:p>
      <w:pPr>
        <w:pStyle w:val="5"/>
        <w:rPr>
          <w:rFonts w:cs="宋体" w:asciiTheme="minorEastAsia" w:hAnsiTheme="minorEastAsia" w:eastAsiaTheme="minorEastAsia"/>
          <w:color w:val="auto"/>
        </w:rPr>
      </w:pPr>
      <w:bookmarkStart w:id="104" w:name="_Toc27026"/>
      <w:r>
        <w:rPr>
          <w:rFonts w:hint="eastAsia" w:cs="宋体" w:asciiTheme="minorEastAsia" w:hAnsiTheme="minorEastAsia" w:eastAsiaTheme="minorEastAsia"/>
          <w:color w:val="auto"/>
        </w:rPr>
        <w:t>10合同履行</w:t>
      </w:r>
      <w:bookmarkEnd w:id="104"/>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lang w:eastAsia="zh-CN"/>
        </w:rPr>
        <w:t>按相关规定进行</w:t>
      </w:r>
      <w:r>
        <w:rPr>
          <w:rFonts w:hint="eastAsia" w:cs="宋体" w:asciiTheme="minorEastAsia" w:hAnsiTheme="minorEastAsia" w:eastAsiaTheme="minorEastAsia"/>
          <w:color w:val="auto"/>
        </w:rPr>
        <w:t>合同</w:t>
      </w:r>
      <w:r>
        <w:rPr>
          <w:rFonts w:hint="eastAsia" w:cs="宋体" w:asciiTheme="minorEastAsia" w:hAnsiTheme="minorEastAsia" w:eastAsiaTheme="minorEastAsia"/>
          <w:color w:val="auto"/>
          <w:lang w:eastAsia="zh-CN"/>
        </w:rPr>
        <w:t>履约</w:t>
      </w:r>
      <w:r>
        <w:rPr>
          <w:rFonts w:hint="eastAsia" w:cs="宋体" w:asciiTheme="minorEastAsia" w:hAnsiTheme="minorEastAsia" w:eastAsiaTheme="minorEastAsia"/>
          <w:color w:val="auto"/>
        </w:rPr>
        <w:t>。</w:t>
      </w:r>
    </w:p>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05" w:name="_Toc26892"/>
      <w:r>
        <w:rPr>
          <w:rFonts w:hint="eastAsia" w:asciiTheme="minorEastAsia" w:hAnsiTheme="minorEastAsia" w:eastAsiaTheme="minorEastAsia"/>
          <w:color w:val="auto"/>
          <w:sz w:val="32"/>
          <w:szCs w:val="32"/>
        </w:rPr>
        <w:t>第四章 合同格式</w:t>
      </w:r>
      <w:bookmarkEnd w:id="105"/>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06" w:name="_Toc1295"/>
      <w:bookmarkStart w:id="107" w:name="_Toc6543"/>
      <w:r>
        <w:rPr>
          <w:rFonts w:hint="eastAsia"/>
          <w:color w:val="auto"/>
        </w:rPr>
        <w:t>浙江省政府采购合同指引</w:t>
      </w:r>
      <w:bookmarkEnd w:id="106"/>
      <w:bookmarkEnd w:id="107"/>
    </w:p>
    <w:p>
      <w:pPr>
        <w:ind w:firstLine="420"/>
        <w:rPr>
          <w:rFonts w:hint="eastAsia"/>
          <w:color w:val="auto"/>
        </w:rPr>
      </w:pPr>
      <w:r>
        <w:rPr>
          <w:rFonts w:hint="eastAsia"/>
          <w:color w:val="auto"/>
        </w:rPr>
        <w:t xml:space="preserve">项目名称                               项目编号 </w:t>
      </w:r>
    </w:p>
    <w:p>
      <w:pPr>
        <w:ind w:firstLine="420"/>
        <w:rPr>
          <w:rFonts w:hint="eastAsia"/>
          <w:color w:val="auto"/>
        </w:rPr>
      </w:pPr>
      <w:r>
        <w:rPr>
          <w:rFonts w:hint="eastAsia"/>
          <w:color w:val="auto"/>
        </w:rPr>
        <w:t>甲方（买方）</w:t>
      </w:r>
      <w:r>
        <w:rPr>
          <w:color w:val="auto"/>
        </w:rPr>
        <w:t>：</w:t>
      </w:r>
      <w:r>
        <w:rPr>
          <w:rFonts w:hint="eastAsia"/>
          <w:color w:val="auto"/>
        </w:rPr>
        <w:t xml:space="preserve"> </w:t>
      </w:r>
    </w:p>
    <w:p>
      <w:pPr>
        <w:ind w:firstLine="420"/>
        <w:rPr>
          <w:rFonts w:hint="eastAsia"/>
          <w:color w:val="auto"/>
        </w:rPr>
      </w:pPr>
      <w:r>
        <w:rPr>
          <w:rFonts w:hint="eastAsia"/>
          <w:color w:val="auto"/>
        </w:rPr>
        <w:t>乙方（卖方）</w:t>
      </w:r>
      <w:r>
        <w:rPr>
          <w:color w:val="auto"/>
        </w:rPr>
        <w:t>：</w:t>
      </w:r>
      <w:r>
        <w:rPr>
          <w:rFonts w:hint="eastAsia"/>
          <w:color w:val="auto"/>
        </w:rPr>
        <w:t xml:space="preserve"> </w:t>
      </w:r>
    </w:p>
    <w:p>
      <w:pPr>
        <w:ind w:firstLine="514" w:firstLineChars="245"/>
        <w:rPr>
          <w:rFonts w:hint="eastAsia"/>
          <w:color w:val="auto"/>
        </w:rPr>
      </w:pPr>
      <w:r>
        <w:rPr>
          <w:color w:val="auto"/>
        </w:rPr>
        <w:t xml:space="preserve">甲、乙双方根据 </w:t>
      </w:r>
      <w:r>
        <w:rPr>
          <w:color w:val="auto"/>
          <w:u w:val="single"/>
        </w:rPr>
        <w:t xml:space="preserve">   </w:t>
      </w:r>
      <w:r>
        <w:rPr>
          <w:rFonts w:hint="eastAsia"/>
          <w:color w:val="auto"/>
          <w:u w:val="single"/>
        </w:rPr>
        <w:t xml:space="preserve">               </w:t>
      </w:r>
      <w:r>
        <w:rPr>
          <w:rFonts w:hint="eastAsia"/>
          <w:color w:val="auto"/>
        </w:rPr>
        <w:t>项目公开招标</w:t>
      </w:r>
      <w:r>
        <w:rPr>
          <w:color w:val="auto"/>
        </w:rPr>
        <w:t>的结果，签署本合同。</w:t>
      </w:r>
    </w:p>
    <w:p>
      <w:pPr>
        <w:pStyle w:val="6"/>
        <w:rPr>
          <w:rFonts w:hint="eastAsia" w:ascii="宋体" w:hAnsi="宋体" w:eastAsia="宋体"/>
          <w:color w:val="auto"/>
        </w:rPr>
      </w:pPr>
      <w:r>
        <w:rPr>
          <w:rFonts w:hint="eastAsia" w:ascii="宋体" w:hAnsi="宋体" w:eastAsia="宋体"/>
          <w:color w:val="auto"/>
        </w:rPr>
        <w:t xml:space="preserve">一、货物内容 </w:t>
      </w:r>
    </w:p>
    <w:p>
      <w:pPr>
        <w:ind w:firstLine="420"/>
        <w:rPr>
          <w:rFonts w:hint="eastAsia"/>
          <w:color w:val="auto"/>
        </w:rPr>
      </w:pPr>
      <w:r>
        <w:rPr>
          <w:rFonts w:hint="eastAsia"/>
          <w:color w:val="auto"/>
        </w:rPr>
        <w:t xml:space="preserve">1.1 货物名称： </w:t>
      </w:r>
    </w:p>
    <w:p>
      <w:pPr>
        <w:ind w:firstLine="420"/>
        <w:rPr>
          <w:rFonts w:hint="eastAsia"/>
          <w:color w:val="auto"/>
        </w:rPr>
      </w:pPr>
      <w:r>
        <w:rPr>
          <w:rFonts w:hint="eastAsia"/>
          <w:color w:val="auto"/>
        </w:rPr>
        <w:t xml:space="preserve">1.2 型号规格： </w:t>
      </w:r>
    </w:p>
    <w:p>
      <w:pPr>
        <w:ind w:firstLine="420"/>
        <w:rPr>
          <w:rFonts w:hint="eastAsia"/>
          <w:color w:val="auto"/>
        </w:rPr>
      </w:pPr>
      <w:r>
        <w:rPr>
          <w:rFonts w:hint="eastAsia"/>
          <w:color w:val="auto"/>
        </w:rPr>
        <w:t xml:space="preserve">1.3 技术参数： </w:t>
      </w:r>
    </w:p>
    <w:p>
      <w:pPr>
        <w:ind w:firstLine="420"/>
        <w:rPr>
          <w:rFonts w:hint="eastAsia"/>
          <w:color w:val="auto"/>
        </w:rPr>
      </w:pPr>
      <w:r>
        <w:rPr>
          <w:rFonts w:hint="eastAsia"/>
          <w:color w:val="auto"/>
        </w:rPr>
        <w:t xml:space="preserve">1.4 数量、单位： </w:t>
      </w:r>
    </w:p>
    <w:p>
      <w:pPr>
        <w:pStyle w:val="6"/>
        <w:rPr>
          <w:rFonts w:hint="eastAsia" w:ascii="宋体" w:hAnsi="宋体" w:eastAsia="宋体"/>
          <w:color w:val="auto"/>
        </w:rPr>
      </w:pPr>
      <w:r>
        <w:rPr>
          <w:rFonts w:hint="eastAsia" w:ascii="宋体" w:hAnsi="宋体" w:eastAsia="宋体"/>
          <w:color w:val="auto"/>
        </w:rPr>
        <w:t xml:space="preserve">二、合同金额 </w:t>
      </w:r>
    </w:p>
    <w:p>
      <w:pPr>
        <w:ind w:firstLine="420"/>
        <w:rPr>
          <w:rFonts w:hint="eastAsia"/>
          <w:color w:val="auto"/>
        </w:rPr>
      </w:pPr>
      <w:r>
        <w:rPr>
          <w:rFonts w:hint="eastAsia"/>
          <w:color w:val="auto"/>
        </w:rPr>
        <w:t>2.1</w:t>
      </w:r>
      <w:r>
        <w:rPr>
          <w:color w:val="auto"/>
        </w:rPr>
        <w:t>本合同金额为（大写）：____________________________________元（￥_______________元）人民币。</w:t>
      </w:r>
      <w:r>
        <w:rPr>
          <w:rFonts w:hint="eastAsia"/>
          <w:color w:val="auto"/>
        </w:rPr>
        <w:t xml:space="preserve"> </w:t>
      </w:r>
    </w:p>
    <w:p>
      <w:pPr>
        <w:pStyle w:val="6"/>
        <w:rPr>
          <w:rFonts w:hint="eastAsia" w:ascii="宋体" w:hAnsi="宋体" w:eastAsia="宋体"/>
          <w:color w:val="auto"/>
        </w:rPr>
      </w:pPr>
      <w:r>
        <w:rPr>
          <w:rFonts w:hint="eastAsia" w:ascii="宋体" w:hAnsi="宋体" w:eastAsia="宋体"/>
          <w:color w:val="auto"/>
        </w:rPr>
        <w:t xml:space="preserve">三、技术资料 </w:t>
      </w:r>
    </w:p>
    <w:p>
      <w:pPr>
        <w:ind w:firstLine="420"/>
        <w:rPr>
          <w:rFonts w:hint="eastAsia"/>
          <w:color w:val="auto"/>
        </w:rPr>
      </w:pPr>
      <w:r>
        <w:rPr>
          <w:rFonts w:hint="eastAsia"/>
          <w:color w:val="auto"/>
        </w:rPr>
        <w:t xml:space="preserve">3.1乙方应按采购文件规定的时间向甲方提供使用货物的有关技术资料。 </w:t>
      </w:r>
    </w:p>
    <w:p>
      <w:pPr>
        <w:ind w:firstLine="420"/>
        <w:rPr>
          <w:rFonts w:hint="eastAsia"/>
          <w:color w:val="auto"/>
        </w:rPr>
      </w:pPr>
      <w:r>
        <w:rPr>
          <w:rFonts w:hint="eastAsia"/>
          <w:color w:val="auto"/>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hint="eastAsia" w:ascii="宋体" w:hAnsi="宋体" w:eastAsia="宋体"/>
          <w:color w:val="auto"/>
        </w:rPr>
      </w:pPr>
      <w:r>
        <w:rPr>
          <w:rFonts w:hint="eastAsia" w:ascii="宋体" w:hAnsi="宋体" w:eastAsia="宋体"/>
          <w:color w:val="auto"/>
        </w:rPr>
        <w:t>四、知识产权</w:t>
      </w:r>
    </w:p>
    <w:p>
      <w:pPr>
        <w:ind w:firstLine="420"/>
        <w:rPr>
          <w:color w:val="auto"/>
        </w:rPr>
      </w:pPr>
      <w:r>
        <w:rPr>
          <w:rFonts w:hint="eastAsia"/>
          <w:color w:val="auto"/>
        </w:rPr>
        <w:t>4.1 乙方应保证所提供的货物或其任何一部分均不会侵犯任何第三方的知识产权。</w:t>
      </w:r>
    </w:p>
    <w:p>
      <w:pPr>
        <w:pStyle w:val="6"/>
        <w:rPr>
          <w:rFonts w:hint="eastAsia" w:ascii="宋体" w:hAnsi="宋体" w:eastAsia="宋体"/>
          <w:color w:val="auto"/>
        </w:rPr>
      </w:pPr>
      <w:r>
        <w:rPr>
          <w:rFonts w:hint="eastAsia" w:ascii="宋体" w:hAnsi="宋体" w:eastAsia="宋体"/>
          <w:color w:val="auto"/>
        </w:rPr>
        <w:t xml:space="preserve">五、产权担保 </w:t>
      </w:r>
    </w:p>
    <w:p>
      <w:pPr>
        <w:ind w:firstLine="420"/>
        <w:rPr>
          <w:rFonts w:hint="eastAsia"/>
          <w:color w:val="auto"/>
        </w:rPr>
      </w:pPr>
      <w:r>
        <w:rPr>
          <w:rFonts w:hint="eastAsia"/>
          <w:color w:val="auto"/>
        </w:rPr>
        <w:t xml:space="preserve">5.1 乙方保证所交付的货物的所有权完全属于乙方且无任何抵押、查封等产权瑕疵。 </w:t>
      </w:r>
    </w:p>
    <w:p>
      <w:pPr>
        <w:keepNext/>
        <w:keepLines/>
        <w:ind w:firstLine="0" w:firstLineChars="0"/>
        <w:outlineLvl w:val="2"/>
        <w:rPr>
          <w:b/>
          <w:bCs/>
          <w:color w:val="auto"/>
          <w:szCs w:val="32"/>
        </w:rPr>
      </w:pPr>
      <w:r>
        <w:rPr>
          <w:rFonts w:hint="eastAsia"/>
          <w:b/>
          <w:bCs/>
          <w:color w:val="auto"/>
          <w:szCs w:val="32"/>
        </w:rPr>
        <w:t>六、履约保证金</w:t>
      </w:r>
    </w:p>
    <w:p>
      <w:pPr>
        <w:ind w:firstLine="420"/>
        <w:rPr>
          <w:color w:val="auto"/>
        </w:rPr>
      </w:pPr>
      <w:r>
        <w:rPr>
          <w:rFonts w:hint="eastAsia"/>
          <w:color w:val="auto"/>
        </w:rPr>
        <w:t>6.1乙方在合同签订之日起</w:t>
      </w:r>
      <w:r>
        <w:rPr>
          <w:color w:val="auto"/>
        </w:rPr>
        <w:t>5</w:t>
      </w:r>
      <w:r>
        <w:rPr>
          <w:rFonts w:hint="eastAsia"/>
          <w:color w:val="auto"/>
        </w:rPr>
        <w:t>天内向甲方指定</w:t>
      </w:r>
      <w:r>
        <w:rPr>
          <w:color w:val="auto"/>
        </w:rPr>
        <w:t>的账户</w:t>
      </w:r>
      <w:r>
        <w:rPr>
          <w:rFonts w:hint="eastAsia"/>
          <w:color w:val="auto"/>
        </w:rPr>
        <w:t>缴纳合同总价</w:t>
      </w:r>
      <w:r>
        <w:rPr>
          <w:color w:val="auto"/>
        </w:rPr>
        <w:t>5%</w:t>
      </w:r>
      <w:r>
        <w:rPr>
          <w:rFonts w:hint="eastAsia"/>
          <w:color w:val="auto"/>
        </w:rPr>
        <w:t>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0"/>
        <w:rPr>
          <w:color w:val="auto"/>
        </w:rPr>
      </w:pPr>
      <w:r>
        <w:rPr>
          <w:rFonts w:hint="eastAsia"/>
          <w:color w:val="auto"/>
        </w:rPr>
        <w:t>6.2</w:t>
      </w:r>
      <w:r>
        <w:rPr>
          <w:rFonts w:hint="eastAsia" w:hAnsi="宋体"/>
          <w:color w:val="auto"/>
        </w:rPr>
        <w:t>履约保证金在货物质量保证期届满，确认投标人无违约行为后一周内无息返还。</w:t>
      </w:r>
    </w:p>
    <w:p>
      <w:pPr>
        <w:pStyle w:val="6"/>
        <w:rPr>
          <w:rFonts w:hint="eastAsia" w:ascii="宋体" w:hAnsi="宋体" w:eastAsia="宋体"/>
          <w:color w:val="auto"/>
        </w:rPr>
      </w:pPr>
      <w:r>
        <w:rPr>
          <w:rFonts w:hint="eastAsia" w:ascii="宋体" w:hAnsi="宋体" w:eastAsia="宋体"/>
          <w:color w:val="auto"/>
        </w:rPr>
        <w:t>七.、转包或</w:t>
      </w:r>
      <w:r>
        <w:rPr>
          <w:rStyle w:val="30"/>
          <w:rFonts w:hint="eastAsia" w:ascii="宋体" w:hAnsi="宋体" w:eastAsia="宋体"/>
          <w:b/>
          <w:bCs/>
          <w:color w:val="auto"/>
        </w:rPr>
        <w:t>分</w:t>
      </w:r>
      <w:r>
        <w:rPr>
          <w:rFonts w:hint="eastAsia" w:ascii="宋体" w:hAnsi="宋体" w:eastAsia="宋体"/>
          <w:color w:val="auto"/>
        </w:rPr>
        <w:t xml:space="preserve">包 </w:t>
      </w:r>
    </w:p>
    <w:p>
      <w:pPr>
        <w:ind w:firstLine="420"/>
        <w:rPr>
          <w:rFonts w:hint="eastAsia"/>
          <w:color w:val="auto"/>
        </w:rPr>
      </w:pPr>
      <w:r>
        <w:rPr>
          <w:rFonts w:hint="eastAsia"/>
          <w:color w:val="auto"/>
        </w:rPr>
        <w:t>7.1本合同范围的货物应由供方直接供应不得转让他人供应。</w:t>
      </w:r>
    </w:p>
    <w:p>
      <w:pPr>
        <w:ind w:firstLine="420"/>
        <w:rPr>
          <w:color w:val="auto"/>
        </w:rPr>
      </w:pPr>
      <w:r>
        <w:rPr>
          <w:rFonts w:hint="eastAsia"/>
          <w:color w:val="auto"/>
        </w:rPr>
        <w:t>7.2 除非得到需方的书面同意供方不得部分分包给他人供应。</w:t>
      </w:r>
    </w:p>
    <w:p>
      <w:pPr>
        <w:ind w:firstLine="420"/>
        <w:rPr>
          <w:rFonts w:hint="eastAsia"/>
          <w:color w:val="auto"/>
        </w:rPr>
      </w:pPr>
      <w:r>
        <w:rPr>
          <w:rFonts w:hint="eastAsia"/>
          <w:color w:val="auto"/>
        </w:rPr>
        <w:t xml:space="preserve">7.3如有转让和未经需方同意的分包行为需方有权给予终止合同。 </w:t>
      </w:r>
    </w:p>
    <w:p>
      <w:pPr>
        <w:pStyle w:val="6"/>
        <w:rPr>
          <w:rFonts w:hint="eastAsia" w:ascii="宋体" w:hAnsi="宋体" w:eastAsia="宋体"/>
          <w:color w:val="auto"/>
        </w:rPr>
      </w:pPr>
      <w:r>
        <w:rPr>
          <w:rFonts w:hint="eastAsia" w:ascii="宋体" w:hAnsi="宋体" w:eastAsia="宋体"/>
          <w:color w:val="auto"/>
        </w:rPr>
        <w:t xml:space="preserve">八、质保期 </w:t>
      </w:r>
    </w:p>
    <w:p>
      <w:pPr>
        <w:ind w:firstLine="420"/>
        <w:rPr>
          <w:rFonts w:hint="eastAsia"/>
          <w:color w:val="auto"/>
        </w:rPr>
      </w:pPr>
      <w:r>
        <w:rPr>
          <w:rFonts w:hint="eastAsia"/>
          <w:color w:val="auto"/>
        </w:rPr>
        <w:t>8.1 质保期：    年。自交货验收合格</w:t>
      </w:r>
      <w:r>
        <w:rPr>
          <w:rFonts w:hint="eastAsia" w:ascii="宋体" w:hAnsi="宋体" w:cs="宋体"/>
          <w:b w:val="0"/>
          <w:bCs w:val="0"/>
          <w:color w:val="FF0000"/>
          <w:sz w:val="21"/>
          <w:szCs w:val="21"/>
          <w:lang w:eastAsia="zh-CN"/>
        </w:rPr>
        <w:t>，设备投入运行</w:t>
      </w:r>
      <w:r>
        <w:rPr>
          <w:rFonts w:hint="eastAsia"/>
          <w:color w:val="auto"/>
        </w:rPr>
        <w:t>之日起计</w:t>
      </w:r>
    </w:p>
    <w:p>
      <w:pPr>
        <w:pStyle w:val="6"/>
        <w:rPr>
          <w:rFonts w:hint="eastAsia" w:ascii="宋体" w:hAnsi="宋体" w:eastAsia="宋体"/>
          <w:color w:val="auto"/>
        </w:rPr>
      </w:pPr>
      <w:r>
        <w:rPr>
          <w:rFonts w:hint="eastAsia" w:ascii="宋体" w:hAnsi="宋体" w:eastAsia="宋体"/>
          <w:color w:val="auto"/>
        </w:rPr>
        <w:t xml:space="preserve">九、交货期、交货方式及交货地点 </w:t>
      </w:r>
    </w:p>
    <w:p>
      <w:pPr>
        <w:ind w:firstLine="420"/>
        <w:rPr>
          <w:rFonts w:hint="eastAsia"/>
          <w:color w:val="auto"/>
        </w:rPr>
      </w:pPr>
      <w:r>
        <w:rPr>
          <w:rFonts w:hint="eastAsia"/>
          <w:color w:val="auto"/>
        </w:rPr>
        <w:t xml:space="preserve">9.1 交货期： </w:t>
      </w:r>
    </w:p>
    <w:p>
      <w:pPr>
        <w:ind w:firstLine="420"/>
        <w:rPr>
          <w:rFonts w:hint="eastAsia"/>
          <w:color w:val="auto"/>
        </w:rPr>
      </w:pPr>
      <w:r>
        <w:rPr>
          <w:rFonts w:hint="eastAsia"/>
          <w:color w:val="auto"/>
        </w:rPr>
        <w:t xml:space="preserve">9.2 交货方式： </w:t>
      </w:r>
    </w:p>
    <w:p>
      <w:pPr>
        <w:ind w:firstLine="420"/>
        <w:rPr>
          <w:rFonts w:hint="eastAsia"/>
          <w:color w:val="auto"/>
        </w:rPr>
      </w:pPr>
      <w:r>
        <w:rPr>
          <w:rFonts w:hint="eastAsia"/>
          <w:color w:val="auto"/>
        </w:rPr>
        <w:t>9.3 交货地点：</w:t>
      </w:r>
    </w:p>
    <w:p>
      <w:pPr>
        <w:pStyle w:val="6"/>
        <w:rPr>
          <w:rFonts w:hint="eastAsia" w:ascii="宋体" w:hAnsi="宋体" w:eastAsia="宋体"/>
          <w:color w:val="auto"/>
        </w:rPr>
      </w:pPr>
      <w:r>
        <w:rPr>
          <w:rFonts w:hint="eastAsia" w:ascii="宋体" w:hAnsi="宋体" w:eastAsia="宋体"/>
          <w:color w:val="auto"/>
        </w:rPr>
        <w:t xml:space="preserve">十、货款支付 </w:t>
      </w:r>
    </w:p>
    <w:p>
      <w:pPr>
        <w:ind w:firstLine="420"/>
        <w:rPr>
          <w:rFonts w:hint="eastAsia"/>
          <w:color w:val="auto"/>
        </w:rPr>
      </w:pPr>
      <w:r>
        <w:rPr>
          <w:rFonts w:hint="eastAsia"/>
          <w:color w:val="auto"/>
        </w:rPr>
        <w:t>10.1 付款方式：</w:t>
      </w:r>
    </w:p>
    <w:p>
      <w:pPr>
        <w:ind w:firstLine="420"/>
        <w:rPr>
          <w:rFonts w:hint="eastAsia"/>
          <w:color w:val="auto"/>
        </w:rPr>
      </w:pPr>
      <w:r>
        <w:rPr>
          <w:rFonts w:hint="eastAsia"/>
          <w:color w:val="auto"/>
        </w:rPr>
        <w:t>10.2</w:t>
      </w:r>
      <w:r>
        <w:rPr>
          <w:color w:val="auto"/>
        </w:rPr>
        <w:t xml:space="preserve"> </w:t>
      </w:r>
      <w:r>
        <w:rPr>
          <w:rFonts w:hint="eastAsia"/>
          <w:color w:val="auto"/>
        </w:rPr>
        <w:t xml:space="preserve">当采购数量与实际使用数量不一致时，供应商应根据实际使用量，供货合同的最终结算金额按实际使用量乘以成交单价进行计算。 </w:t>
      </w:r>
    </w:p>
    <w:p>
      <w:pPr>
        <w:pStyle w:val="6"/>
        <w:rPr>
          <w:rFonts w:hint="eastAsia" w:ascii="宋体" w:hAnsi="宋体" w:eastAsia="宋体"/>
          <w:color w:val="auto"/>
        </w:rPr>
      </w:pPr>
      <w:r>
        <w:rPr>
          <w:rFonts w:hint="eastAsia" w:ascii="宋体" w:hAnsi="宋体" w:eastAsia="宋体"/>
          <w:color w:val="auto"/>
        </w:rPr>
        <w:t xml:space="preserve">十一、税费 </w:t>
      </w:r>
    </w:p>
    <w:p>
      <w:pPr>
        <w:ind w:firstLine="420"/>
        <w:rPr>
          <w:rFonts w:hint="eastAsia"/>
          <w:color w:val="auto"/>
        </w:rPr>
      </w:pPr>
      <w:r>
        <w:rPr>
          <w:rFonts w:hint="eastAsia"/>
          <w:color w:val="auto"/>
        </w:rPr>
        <w:t xml:space="preserve">11.1本合同执行中相关的一切税费均由供方负担。 </w:t>
      </w:r>
    </w:p>
    <w:p>
      <w:pPr>
        <w:pStyle w:val="6"/>
        <w:rPr>
          <w:rFonts w:hint="eastAsia" w:ascii="宋体" w:hAnsi="宋体" w:eastAsia="宋体"/>
          <w:color w:val="auto"/>
        </w:rPr>
      </w:pPr>
      <w:r>
        <w:rPr>
          <w:rFonts w:hint="eastAsia" w:ascii="宋体" w:hAnsi="宋体" w:eastAsia="宋体"/>
          <w:color w:val="auto"/>
        </w:rPr>
        <w:t xml:space="preserve">十二、质量保证及售后服务 </w:t>
      </w:r>
    </w:p>
    <w:p>
      <w:pPr>
        <w:ind w:firstLine="420"/>
        <w:rPr>
          <w:rFonts w:hint="eastAsia"/>
          <w:color w:val="auto"/>
        </w:rPr>
      </w:pPr>
      <w:r>
        <w:rPr>
          <w:rFonts w:hint="eastAsia"/>
          <w:color w:val="auto"/>
        </w:rPr>
        <w:t>12.1 乙方应按采购文件规定的货物性能、技术要求、质量标准向甲方提供未经使用的全新产品。</w:t>
      </w:r>
    </w:p>
    <w:p>
      <w:pPr>
        <w:ind w:firstLine="420"/>
        <w:rPr>
          <w:rFonts w:hint="eastAsia"/>
          <w:color w:val="auto"/>
        </w:rPr>
      </w:pPr>
      <w:r>
        <w:rPr>
          <w:rFonts w:hint="eastAsia"/>
          <w:color w:val="auto"/>
        </w:rPr>
        <w:t>12.2 乙方提供的货物在质量期内因货物本身的质量问题发生故障乙方应负责免费更换。对达不到技术要求者根据实际情况经双方协商可按以下办法处理</w:t>
      </w:r>
    </w:p>
    <w:p>
      <w:pPr>
        <w:ind w:firstLine="420"/>
        <w:rPr>
          <w:rFonts w:hint="eastAsia"/>
          <w:color w:val="auto"/>
        </w:rPr>
      </w:pPr>
      <w:r>
        <w:rPr>
          <w:rFonts w:hint="eastAsia"/>
          <w:color w:val="auto"/>
        </w:rPr>
        <w:t>⑴更换。由乙方承担所发生的全部费用。</w:t>
      </w:r>
    </w:p>
    <w:p>
      <w:pPr>
        <w:ind w:firstLine="420"/>
        <w:rPr>
          <w:rFonts w:hint="eastAsia"/>
          <w:color w:val="auto"/>
        </w:rPr>
      </w:pPr>
      <w:r>
        <w:rPr>
          <w:rFonts w:hint="eastAsia"/>
          <w:color w:val="auto"/>
        </w:rPr>
        <w:t>⑵贬值处理。由甲乙双方合议定价。</w:t>
      </w:r>
    </w:p>
    <w:p>
      <w:pPr>
        <w:ind w:firstLine="420"/>
        <w:rPr>
          <w:color w:val="auto"/>
        </w:rPr>
      </w:pPr>
      <w:r>
        <w:rPr>
          <w:rFonts w:hint="eastAsia"/>
          <w:color w:val="auto"/>
        </w:rPr>
        <w:t>⑶退货处理。乙方应退还甲方支付的合同款，同时应承担该货物的直接费用、运输、保险、检验、货款利息及银行手续费等。</w:t>
      </w:r>
    </w:p>
    <w:p>
      <w:pPr>
        <w:ind w:firstLine="420"/>
        <w:rPr>
          <w:rFonts w:hint="eastAsia"/>
          <w:color w:val="auto"/>
        </w:rPr>
      </w:pPr>
      <w:r>
        <w:rPr>
          <w:rFonts w:hint="eastAsia"/>
          <w:color w:val="auto"/>
        </w:rPr>
        <w:t xml:space="preserve">12.3 如在使用过程中发生质量问题，乙方在接到甲方通知后在一小时内到达甲方现场。 </w:t>
      </w:r>
    </w:p>
    <w:p>
      <w:pPr>
        <w:ind w:firstLine="420"/>
        <w:rPr>
          <w:rFonts w:hint="eastAsia"/>
          <w:color w:val="auto"/>
        </w:rPr>
      </w:pPr>
      <w:r>
        <w:rPr>
          <w:rFonts w:hint="eastAsia"/>
          <w:color w:val="auto"/>
        </w:rPr>
        <w:t xml:space="preserve">12.4 在质保期内，乙方应对货物出现的质量及安全问题负责处理解决并承担一切费用。 </w:t>
      </w:r>
    </w:p>
    <w:p>
      <w:pPr>
        <w:ind w:firstLine="420"/>
        <w:rPr>
          <w:rFonts w:hint="eastAsia"/>
          <w:color w:val="auto"/>
        </w:rPr>
      </w:pPr>
      <w:r>
        <w:rPr>
          <w:rFonts w:hint="eastAsia"/>
          <w:color w:val="auto"/>
        </w:rPr>
        <w:t xml:space="preserve">12.5上述的货物免费保修期为  三  年因人为因素出现的故障不在免费保修范围内。超过保修期的机器设备终生维修，维修时只收部件成本费。 </w:t>
      </w:r>
    </w:p>
    <w:p>
      <w:pPr>
        <w:pStyle w:val="6"/>
        <w:rPr>
          <w:rFonts w:hint="eastAsia" w:ascii="宋体" w:hAnsi="宋体" w:eastAsia="宋体"/>
          <w:color w:val="auto"/>
        </w:rPr>
      </w:pPr>
      <w:r>
        <w:rPr>
          <w:rFonts w:hint="eastAsia" w:ascii="宋体" w:hAnsi="宋体" w:eastAsia="宋体"/>
          <w:color w:val="auto"/>
        </w:rPr>
        <w:t xml:space="preserve">十三、调试和验收 </w:t>
      </w:r>
    </w:p>
    <w:p>
      <w:pPr>
        <w:ind w:firstLine="420"/>
        <w:rPr>
          <w:rFonts w:hint="eastAsia"/>
          <w:color w:val="auto"/>
        </w:rPr>
      </w:pPr>
      <w:r>
        <w:rPr>
          <w:rFonts w:hint="eastAsia"/>
          <w:color w:val="auto"/>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ind w:firstLine="420"/>
        <w:rPr>
          <w:rFonts w:hint="eastAsia"/>
          <w:color w:val="auto"/>
        </w:rPr>
      </w:pPr>
      <w:r>
        <w:rPr>
          <w:rFonts w:hint="eastAsia"/>
          <w:color w:val="auto"/>
        </w:rPr>
        <w:t>13.2 乙方交货前应对产品作出全面检查和对验收文件进行整理并列出清单作为甲方收货验收和使用的技术条件依据，检验的结果应随货物交甲方。</w:t>
      </w:r>
    </w:p>
    <w:p>
      <w:pPr>
        <w:ind w:firstLine="420"/>
        <w:rPr>
          <w:rFonts w:hint="eastAsia"/>
          <w:color w:val="auto"/>
        </w:rPr>
      </w:pPr>
      <w:r>
        <w:rPr>
          <w:rFonts w:hint="eastAsia"/>
          <w:color w:val="auto"/>
        </w:rPr>
        <w:t>13.3 甲方对乙方提供的货物在使用前进行调试时，乙方需负责安装并培训甲方的使用操作人员并协助甲方一起调试直到符合技术要求甲方才做最终验收。</w:t>
      </w:r>
    </w:p>
    <w:p>
      <w:pPr>
        <w:ind w:firstLine="420"/>
        <w:rPr>
          <w:rFonts w:hint="eastAsia"/>
          <w:color w:val="auto"/>
        </w:rPr>
      </w:pPr>
      <w:r>
        <w:rPr>
          <w:rFonts w:hint="eastAsia"/>
          <w:color w:val="auto"/>
        </w:rPr>
        <w:t>13.4 对技术复杂的货物，甲方应请国家认可的专业检测机构参与初步验收及最终验收，并由其出具质量检测报告。</w:t>
      </w:r>
    </w:p>
    <w:p>
      <w:pPr>
        <w:ind w:firstLine="420"/>
        <w:rPr>
          <w:rFonts w:hint="eastAsia"/>
          <w:color w:val="auto"/>
        </w:rPr>
      </w:pPr>
      <w:r>
        <w:rPr>
          <w:rFonts w:hint="eastAsia"/>
          <w:color w:val="auto"/>
        </w:rPr>
        <w:t>13.5 验收时乙方必须在现场，验收完毕后作出验收结果报告，验收费用由乙方负责。</w:t>
      </w:r>
    </w:p>
    <w:p>
      <w:pPr>
        <w:pStyle w:val="6"/>
        <w:rPr>
          <w:rFonts w:hint="eastAsia" w:ascii="宋体" w:hAnsi="宋体" w:eastAsia="宋体"/>
          <w:color w:val="auto"/>
        </w:rPr>
      </w:pPr>
      <w:r>
        <w:rPr>
          <w:rFonts w:hint="eastAsia" w:ascii="宋体" w:hAnsi="宋体" w:eastAsia="宋体"/>
          <w:color w:val="auto"/>
        </w:rPr>
        <w:t xml:space="preserve">十四、货物包装、发运及运输 </w:t>
      </w:r>
    </w:p>
    <w:p>
      <w:pPr>
        <w:ind w:firstLine="420"/>
        <w:rPr>
          <w:rFonts w:hint="eastAsia"/>
          <w:color w:val="auto"/>
        </w:rPr>
      </w:pPr>
      <w:r>
        <w:rPr>
          <w:rFonts w:hint="eastAsia"/>
          <w:color w:val="auto"/>
        </w:rPr>
        <w:t>14.1 乙方应在货物发运前对其进行满足运输距离、防潮、防震、防锈和防破损装卸等要求包装以保证货物安全运达甲方指定地点。</w:t>
      </w:r>
    </w:p>
    <w:p>
      <w:pPr>
        <w:ind w:firstLine="420"/>
        <w:rPr>
          <w:rFonts w:hint="eastAsia"/>
          <w:color w:val="auto"/>
        </w:rPr>
      </w:pPr>
      <w:r>
        <w:rPr>
          <w:rFonts w:hint="eastAsia"/>
          <w:color w:val="auto"/>
        </w:rPr>
        <w:t>14.2 使用说明书、质量检验证明书、随配附件和工具以及清单一并附于货物内。</w:t>
      </w:r>
    </w:p>
    <w:p>
      <w:pPr>
        <w:ind w:firstLine="420"/>
        <w:rPr>
          <w:rFonts w:hint="eastAsia"/>
          <w:color w:val="auto"/>
        </w:rPr>
      </w:pPr>
      <w:r>
        <w:rPr>
          <w:rFonts w:hint="eastAsia"/>
          <w:color w:val="auto"/>
        </w:rPr>
        <w:t xml:space="preserve">14.3 乙方在货物发运手续办理完毕后24小时内或货到甲方48小时前通知甲方以准备接货。 </w:t>
      </w:r>
    </w:p>
    <w:p>
      <w:pPr>
        <w:ind w:firstLine="420"/>
        <w:rPr>
          <w:rFonts w:hint="eastAsia"/>
          <w:color w:val="auto"/>
        </w:rPr>
      </w:pPr>
      <w:r>
        <w:rPr>
          <w:rFonts w:hint="eastAsia"/>
          <w:color w:val="auto"/>
        </w:rPr>
        <w:t>14.3 货物在交付甲方前发生的风险均由乙方负责。</w:t>
      </w:r>
    </w:p>
    <w:p>
      <w:pPr>
        <w:ind w:firstLine="420"/>
        <w:rPr>
          <w:rFonts w:hint="eastAsia"/>
          <w:color w:val="auto"/>
        </w:rPr>
      </w:pPr>
      <w:r>
        <w:rPr>
          <w:rFonts w:hint="eastAsia"/>
          <w:color w:val="auto"/>
        </w:rPr>
        <w:t>14.5 货物在规定的交付期限内由乙方送达甲方指定的地点视为交付，乙方同时需通知甲方货物已送达。</w:t>
      </w:r>
    </w:p>
    <w:p>
      <w:pPr>
        <w:pStyle w:val="6"/>
        <w:rPr>
          <w:rFonts w:hint="eastAsia" w:ascii="宋体" w:hAnsi="宋体" w:eastAsia="宋体"/>
          <w:color w:val="auto"/>
        </w:rPr>
      </w:pPr>
      <w:r>
        <w:rPr>
          <w:rFonts w:hint="eastAsia" w:ascii="宋体" w:hAnsi="宋体" w:eastAsia="宋体"/>
          <w:color w:val="auto"/>
        </w:rPr>
        <w:t xml:space="preserve">十五、违约责任 </w:t>
      </w:r>
    </w:p>
    <w:p>
      <w:pPr>
        <w:ind w:firstLine="420"/>
        <w:rPr>
          <w:rFonts w:hint="eastAsia"/>
          <w:color w:val="auto"/>
        </w:rPr>
      </w:pPr>
      <w:r>
        <w:rPr>
          <w:rFonts w:hint="eastAsia"/>
          <w:color w:val="auto"/>
        </w:rPr>
        <w:t>15.1 甲方无正当理由拒收货物的，甲方向乙方偿付拒收货款总值的百分之五违约金。</w:t>
      </w:r>
    </w:p>
    <w:p>
      <w:pPr>
        <w:ind w:firstLine="420"/>
        <w:rPr>
          <w:color w:val="auto"/>
        </w:rPr>
      </w:pPr>
      <w:r>
        <w:rPr>
          <w:rFonts w:hint="eastAsia"/>
          <w:color w:val="auto"/>
        </w:rPr>
        <w:t>15.2 甲方无故逾期验收和办理货款支付手续的,甲方应按逾期付款总额每日万分之五向乙方支付违约金。</w:t>
      </w:r>
    </w:p>
    <w:p>
      <w:pPr>
        <w:ind w:firstLine="420"/>
        <w:rPr>
          <w:rFonts w:hint="eastAsia"/>
          <w:color w:val="auto"/>
        </w:rPr>
      </w:pPr>
      <w:r>
        <w:rPr>
          <w:rFonts w:hint="eastAsia"/>
          <w:color w:val="auto"/>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rPr>
          <w:rFonts w:hint="eastAsia"/>
          <w:color w:val="auto"/>
        </w:rPr>
      </w:pPr>
      <w:r>
        <w:rPr>
          <w:rFonts w:hint="eastAsia"/>
          <w:color w:val="auto"/>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rPr>
          <w:rFonts w:hint="eastAsia" w:ascii="宋体" w:hAnsi="宋体" w:eastAsia="宋体"/>
          <w:color w:val="auto"/>
        </w:rPr>
      </w:pPr>
      <w:r>
        <w:rPr>
          <w:rFonts w:hint="eastAsia" w:ascii="宋体" w:hAnsi="宋体" w:eastAsia="宋体"/>
          <w:color w:val="auto"/>
        </w:rPr>
        <w:t xml:space="preserve">十六、不可抗力事件处理 </w:t>
      </w:r>
    </w:p>
    <w:p>
      <w:pPr>
        <w:ind w:firstLine="420"/>
        <w:rPr>
          <w:color w:val="auto"/>
        </w:rPr>
      </w:pPr>
      <w:r>
        <w:rPr>
          <w:rFonts w:hint="eastAsia"/>
          <w:color w:val="auto"/>
        </w:rPr>
        <w:t>16.1 在合同有效期内，任何一方因不可抗力事件导致不能履行合同，则合同履行期可延长其延长期与不可抗力影响期相同。</w:t>
      </w:r>
    </w:p>
    <w:p>
      <w:pPr>
        <w:ind w:firstLine="420"/>
        <w:rPr>
          <w:rFonts w:hint="eastAsia"/>
          <w:color w:val="auto"/>
        </w:rPr>
      </w:pPr>
      <w:r>
        <w:rPr>
          <w:rFonts w:hint="eastAsia"/>
          <w:color w:val="auto"/>
        </w:rPr>
        <w:t>16.2 不可抗力事件发生后，应立即通知对方，并寄送有关权威机构出具的证明。</w:t>
      </w:r>
    </w:p>
    <w:p>
      <w:pPr>
        <w:ind w:firstLine="420"/>
        <w:rPr>
          <w:rFonts w:hint="eastAsia"/>
          <w:color w:val="auto"/>
        </w:rPr>
      </w:pPr>
      <w:r>
        <w:rPr>
          <w:rFonts w:hint="eastAsia"/>
          <w:color w:val="auto"/>
        </w:rPr>
        <w:t xml:space="preserve">16.3 不可抗力事件延续120天以上，双方应通过友好协商，确定是否继续履行合同。 </w:t>
      </w:r>
    </w:p>
    <w:p>
      <w:pPr>
        <w:pStyle w:val="6"/>
        <w:rPr>
          <w:rFonts w:hint="eastAsia" w:ascii="宋体" w:hAnsi="宋体" w:eastAsia="宋体"/>
          <w:color w:val="auto"/>
        </w:rPr>
      </w:pPr>
      <w:r>
        <w:rPr>
          <w:rFonts w:hint="eastAsia" w:ascii="宋体" w:hAnsi="宋体" w:eastAsia="宋体"/>
          <w:color w:val="auto"/>
        </w:rPr>
        <w:t xml:space="preserve">十七、诉讼 </w:t>
      </w:r>
    </w:p>
    <w:p>
      <w:pPr>
        <w:ind w:firstLine="420"/>
        <w:rPr>
          <w:rFonts w:hint="eastAsia"/>
          <w:color w:val="auto"/>
        </w:rPr>
      </w:pPr>
      <w:r>
        <w:rPr>
          <w:rFonts w:hint="eastAsia"/>
          <w:color w:val="auto"/>
        </w:rPr>
        <w:t xml:space="preserve">17.1 双方在执行合同中所发生的一切争议，应通过协商解决。如协商不成，可向合同签订地法院起诉，合同签订地在此约定为杭州市。 </w:t>
      </w:r>
    </w:p>
    <w:p>
      <w:pPr>
        <w:pStyle w:val="6"/>
        <w:rPr>
          <w:rFonts w:hint="eastAsia" w:ascii="宋体" w:hAnsi="宋体" w:eastAsia="宋体"/>
          <w:color w:val="auto"/>
        </w:rPr>
      </w:pPr>
      <w:r>
        <w:rPr>
          <w:rFonts w:hint="eastAsia" w:ascii="宋体" w:hAnsi="宋体" w:eastAsia="宋体"/>
          <w:color w:val="auto"/>
        </w:rPr>
        <w:t xml:space="preserve">十八、合同生效及其它 </w:t>
      </w:r>
    </w:p>
    <w:p>
      <w:pPr>
        <w:ind w:firstLine="420"/>
        <w:rPr>
          <w:rFonts w:hint="eastAsia"/>
          <w:color w:val="auto"/>
        </w:rPr>
      </w:pPr>
      <w:r>
        <w:rPr>
          <w:rFonts w:hint="eastAsia"/>
          <w:color w:val="auto"/>
        </w:rPr>
        <w:t xml:space="preserve">18.1 合同经双方法定代表人或授权委托代理人签字并加盖单位公章后生效。 </w:t>
      </w:r>
    </w:p>
    <w:p>
      <w:pPr>
        <w:ind w:firstLine="420"/>
        <w:rPr>
          <w:rFonts w:hint="eastAsia"/>
          <w:color w:val="auto"/>
        </w:rPr>
      </w:pPr>
      <w:r>
        <w:rPr>
          <w:rFonts w:hint="eastAsia"/>
          <w:color w:val="auto"/>
        </w:rPr>
        <w:t xml:space="preserve">18.2合同执行中涉及采购资金和采购内容修改或补充的，须经财政部门审批，并签书面补充协议报采购监督管理部门备案，方可作为主合同不可分割的一部分。 </w:t>
      </w:r>
    </w:p>
    <w:p>
      <w:pPr>
        <w:ind w:firstLine="420"/>
        <w:rPr>
          <w:rFonts w:hint="eastAsia"/>
          <w:color w:val="auto"/>
        </w:rPr>
      </w:pPr>
      <w:r>
        <w:rPr>
          <w:rFonts w:hint="eastAsia"/>
          <w:color w:val="auto"/>
        </w:rPr>
        <w:t xml:space="preserve">18.3本合同未尽事宜遵照《合同法》有关条文执行。 </w:t>
      </w:r>
    </w:p>
    <w:p>
      <w:pPr>
        <w:ind w:firstLine="420"/>
        <w:rPr>
          <w:rFonts w:hint="eastAsia"/>
          <w:color w:val="auto"/>
        </w:rPr>
      </w:pPr>
      <w:r>
        <w:rPr>
          <w:rFonts w:hint="eastAsia"/>
          <w:color w:val="auto"/>
        </w:rPr>
        <w:t xml:space="preserve">18.4 本合同正本一式两份，具有同等法律效力甲乙双方各执一份副本三份(用途)。 </w:t>
      </w: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6"/>
        <w:jc w:val="center"/>
        <w:rPr>
          <w:color w:val="auto"/>
        </w:rPr>
      </w:pPr>
      <w:r>
        <w:rPr>
          <w:rFonts w:ascii="宋体" w:hAnsi="宋体" w:eastAsia="宋体"/>
          <w:color w:val="auto"/>
        </w:rPr>
        <w:br w:type="page"/>
      </w:r>
    </w:p>
    <w:p>
      <w:pPr>
        <w:pStyle w:val="6"/>
        <w:jc w:val="center"/>
        <w:rPr>
          <w:color w:val="auto"/>
          <w:sz w:val="28"/>
          <w:szCs w:val="28"/>
        </w:rPr>
      </w:pPr>
      <w:r>
        <w:rPr>
          <w:rFonts w:hint="eastAsia"/>
          <w:color w:val="auto"/>
          <w:sz w:val="28"/>
          <w:szCs w:val="28"/>
        </w:rPr>
        <w:t>政府采购项目验收书</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08" w:name="_Toc450840088"/>
      <w:bookmarkStart w:id="109" w:name="_Toc2467"/>
      <w:r>
        <w:rPr>
          <w:rFonts w:hint="eastAsia" w:asciiTheme="minorEastAsia" w:hAnsiTheme="minorEastAsia" w:eastAsiaTheme="minorEastAsia"/>
          <w:color w:val="auto"/>
          <w:sz w:val="32"/>
          <w:szCs w:val="32"/>
        </w:rPr>
        <w:t>第五章 投标文件内容及格式</w:t>
      </w:r>
      <w:bookmarkEnd w:id="108"/>
      <w:bookmarkEnd w:id="109"/>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10" w:name="_Toc6227669"/>
      <w:bookmarkStart w:id="111" w:name="_Toc2078383"/>
      <w:bookmarkStart w:id="112" w:name="_Toc18750"/>
      <w:r>
        <w:rPr>
          <w:rFonts w:hint="eastAsia" w:cs="宋体" w:asciiTheme="minorEastAsia" w:hAnsiTheme="minorEastAsia" w:eastAsiaTheme="minorEastAsia"/>
          <w:color w:val="auto"/>
          <w:szCs w:val="21"/>
        </w:rPr>
        <w:t>1投标人提交投标文件须知</w:t>
      </w:r>
      <w:bookmarkEnd w:id="110"/>
      <w:bookmarkEnd w:id="111"/>
      <w:bookmarkEnd w:id="112"/>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13"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13"/>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14" w:name="_Toc6227670"/>
      <w:bookmarkStart w:id="115" w:name="_Toc2078384"/>
      <w:bookmarkStart w:id="116" w:name="_Toc23766"/>
      <w:r>
        <w:rPr>
          <w:rFonts w:hint="eastAsia" w:cs="宋体" w:asciiTheme="minorEastAsia" w:hAnsiTheme="minorEastAsia" w:eastAsiaTheme="minorEastAsia"/>
          <w:color w:val="auto"/>
          <w:szCs w:val="21"/>
        </w:rPr>
        <w:t>2投标文件组成</w:t>
      </w:r>
      <w:bookmarkEnd w:id="114"/>
      <w:bookmarkEnd w:id="115"/>
      <w:bookmarkEnd w:id="116"/>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hint="eastAsia" w:ascii="宋体" w:hAnsi="宋体" w:eastAsia="宋体" w:cs="宋体"/>
          <w:b w:val="0"/>
          <w:bCs w:val="0"/>
          <w:color w:val="auto"/>
          <w:sz w:val="21"/>
          <w:szCs w:val="21"/>
        </w:rPr>
      </w:pPr>
      <w:r>
        <w:rPr>
          <w:rFonts w:hint="eastAsia" w:cs="宋体" w:asciiTheme="minorEastAsia" w:hAnsiTheme="minorEastAsia" w:eastAsiaTheme="minorEastAsia"/>
          <w:b w:val="0"/>
          <w:bCs w:val="0"/>
          <w:color w:val="auto"/>
          <w:szCs w:val="21"/>
          <w:highlight w:val="none"/>
        </w:rPr>
        <w:t>（4）</w:t>
      </w:r>
      <w:r>
        <w:rPr>
          <w:rFonts w:hint="eastAsia" w:ascii="宋体" w:hAnsi="宋体" w:eastAsia="宋体" w:cs="宋体"/>
          <w:b w:val="0"/>
          <w:bCs w:val="0"/>
          <w:color w:val="auto"/>
          <w:sz w:val="21"/>
          <w:szCs w:val="21"/>
        </w:rPr>
        <w:t>投标声明书</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rPr>
        <w:t>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6</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2"/>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7</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2"/>
        <w:spacing w:line="360" w:lineRule="auto"/>
        <w:ind w:firstLine="422" w:firstLineChars="200"/>
        <w:rPr>
          <w:rFonts w:asciiTheme="minorEastAsia" w:hAnsiTheme="minorEastAsia" w:eastAsiaTheme="minorEastAsia"/>
          <w:b/>
          <w:bCs/>
          <w:color w:val="auto"/>
          <w:highlight w:val="none"/>
        </w:rPr>
      </w:pPr>
    </w:p>
    <w:p>
      <w:pPr>
        <w:pStyle w:val="12"/>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8</w:t>
      </w:r>
      <w:r>
        <w:rPr>
          <w:rFonts w:hint="eastAsia" w:asciiTheme="minorEastAsia" w:hAnsiTheme="minorEastAsia" w:eastAsiaTheme="minorEastAsia"/>
          <w:b w:val="0"/>
          <w:bCs w:val="0"/>
          <w:color w:val="auto"/>
          <w:highlight w:val="none"/>
        </w:rPr>
        <w:t>）联合投标协议书（联合体适用）；</w:t>
      </w: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asciiTheme="minorEastAsia" w:hAnsiTheme="minorEastAsia" w:eastAsiaTheme="minorEastAsia"/>
          <w:color w:val="auto"/>
        </w:rPr>
      </w:pPr>
      <w:bookmarkStart w:id="117"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已正式加入浙江政府采购网供应商库的页面查询结果截图（如有）。</w:t>
      </w:r>
    </w:p>
    <w:bookmarkEnd w:id="117"/>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szCs w:val="21"/>
        </w:rPr>
      </w:pPr>
      <w:bookmarkStart w:id="118" w:name="_Hlk8684997"/>
      <w:r>
        <w:rPr>
          <w:rFonts w:hint="eastAsia" w:cs="宋体" w:asciiTheme="minorEastAsia" w:hAnsiTheme="minorEastAsia" w:eastAsiaTheme="minorEastAsia"/>
          <w:color w:val="auto"/>
          <w:szCs w:val="21"/>
        </w:rPr>
        <w:t>（9）投标产品环境标志产品认证证书（如有）；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（10）投标产品节能产品认证证书（如有）；</w:t>
      </w:r>
    </w:p>
    <w:bookmarkEnd w:id="118"/>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（11）投标产品介绍（其中宣传册、彩页等应与标书装订在一起），投标产品有关证书及投标产品业绩；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设备名称、配置、数量；所投标的设备的完整配置方案，详细列明投标设备的所有技术指标（包括所投标设备的品牌、规格型号、详细配置、主要技术参数、随机软件等），明确表述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）针对本项目的详细实施计划，包括供货、验货、安装调试、运行维护等内容；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）消耗品购买价格清单；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）备品备件清单；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）培训计划；</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）项目验收方案，验收后的维护及售后服务方案；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）优惠条件及特殊承诺；</w:t>
      </w:r>
    </w:p>
    <w:p>
      <w:pPr>
        <w:ind w:firstLine="42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9</w:t>
      </w:r>
      <w:r>
        <w:rPr>
          <w:rFonts w:hint="eastAsia" w:cs="宋体" w:asciiTheme="minorEastAsia" w:hAnsiTheme="minorEastAsia" w:eastAsiaTheme="minorEastAsia"/>
          <w:color w:val="auto"/>
          <w:szCs w:val="21"/>
        </w:rPr>
        <w:t>）</w:t>
      </w:r>
      <w:r>
        <w:rPr>
          <w:rFonts w:hint="eastAsia" w:asciiTheme="minorEastAsia" w:hAnsiTheme="minorEastAsia" w:eastAsiaTheme="minorEastAsia"/>
          <w:b/>
          <w:color w:val="auto"/>
          <w:szCs w:val="21"/>
        </w:rPr>
        <w:t>★</w:t>
      </w:r>
      <w:r>
        <w:rPr>
          <w:rFonts w:hint="eastAsia" w:cs="宋体" w:asciiTheme="minorEastAsia" w:hAnsiTheme="minorEastAsia" w:eastAsiaTheme="minorEastAsia"/>
          <w:color w:val="auto"/>
          <w:szCs w:val="21"/>
          <w:lang w:eastAsia="zh-CN"/>
        </w:rPr>
        <w:t>进口产品提供代理证明；</w:t>
      </w:r>
    </w:p>
    <w:p>
      <w:pPr>
        <w:ind w:firstLine="420"/>
        <w:rPr>
          <w:rFonts w:ascii="Times New Roman" w:hAnsi="Times New Roman"/>
        </w:rPr>
      </w:pP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lang w:eastAsia="zh-CN"/>
        </w:rPr>
        <w:t>）</w:t>
      </w:r>
      <w:r>
        <w:rPr>
          <w:rFonts w:hint="eastAsia" w:asciiTheme="minorEastAsia" w:hAnsiTheme="minorEastAsia" w:eastAsiaTheme="minorEastAsia"/>
          <w:b/>
          <w:color w:val="auto"/>
          <w:szCs w:val="21"/>
        </w:rPr>
        <w:t>★</w:t>
      </w:r>
      <w:r>
        <w:rPr>
          <w:rFonts w:ascii="Times New Roman" w:hAnsi="Times New Roman"/>
        </w:rPr>
        <w:t>食品药品监督管理部门核发的完整有效的医疗器械注册或备案证明；（适用于按医疗器械管理的设备）</w:t>
      </w:r>
    </w:p>
    <w:p>
      <w:pPr>
        <w:ind w:firstLine="420"/>
        <w:rPr>
          <w:rFonts w:hint="eastAsia" w:cs="宋体" w:asciiTheme="minorEastAsia" w:hAnsiTheme="minorEastAsia" w:eastAsiaTheme="minorEastAsia"/>
          <w:color w:val="auto"/>
        </w:rPr>
      </w:pPr>
      <w:r>
        <w:rPr>
          <w:rFonts w:hint="eastAsia" w:ascii="宋体" w:hAnsi="宋体" w:eastAsia="宋体" w:cs="宋体"/>
          <w:lang w:eastAsia="zh-CN"/>
        </w:rPr>
        <w:t>（</w:t>
      </w:r>
      <w:r>
        <w:rPr>
          <w:rFonts w:hint="eastAsia" w:ascii="宋体" w:hAnsi="宋体" w:eastAsia="宋体" w:cs="宋体"/>
          <w:lang w:val="en-US" w:eastAsia="zh-CN"/>
        </w:rPr>
        <w:t>21</w:t>
      </w:r>
      <w:r>
        <w:rPr>
          <w:rFonts w:hint="eastAsia" w:ascii="宋体" w:hAnsi="宋体" w:eastAsia="宋体" w:cs="宋体"/>
          <w:lang w:eastAsia="zh-CN"/>
        </w:rPr>
        <w:t>）</w:t>
      </w:r>
      <w:r>
        <w:rPr>
          <w:rFonts w:hint="eastAsia" w:cs="宋体" w:asciiTheme="minorEastAsia" w:hAnsiTheme="minorEastAsia" w:eastAsiaTheme="minorEastAsia"/>
          <w:color w:val="auto"/>
          <w:szCs w:val="21"/>
        </w:rPr>
        <w:t>包括但不限于以上技术文件或说明。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r>
        <w:rPr>
          <w:rFonts w:hint="eastAsia" w:asciiTheme="minorEastAsia" w:hAnsiTheme="minorEastAsia" w:eastAsiaTheme="minorEastAsia"/>
          <w:b/>
          <w:color w:val="auto"/>
          <w:szCs w:val="21"/>
        </w:rPr>
        <w:t>以“★”号标明</w:t>
      </w:r>
      <w:r>
        <w:rPr>
          <w:rFonts w:hint="eastAsia" w:asciiTheme="minorEastAsia" w:hAnsiTheme="minorEastAsia" w:eastAsiaTheme="minorEastAsia"/>
          <w:b/>
          <w:color w:val="auto"/>
          <w:szCs w:val="21"/>
          <w:lang w:eastAsia="zh-CN"/>
        </w:rPr>
        <w:t>的</w:t>
      </w:r>
      <w:r>
        <w:rPr>
          <w:rFonts w:hint="eastAsia" w:asciiTheme="minorEastAsia" w:hAnsiTheme="minorEastAsia" w:eastAsiaTheme="minorEastAsia"/>
          <w:b/>
          <w:color w:val="auto"/>
          <w:szCs w:val="21"/>
        </w:rPr>
        <w:t>，如投标人未响应的，将被视为无效投标。</w:t>
      </w:r>
    </w:p>
    <w:p>
      <w:pPr>
        <w:pStyle w:val="5"/>
        <w:rPr>
          <w:rFonts w:cs="宋体" w:asciiTheme="minorEastAsia" w:hAnsiTheme="minorEastAsia" w:eastAsiaTheme="minorEastAsia"/>
          <w:color w:val="auto"/>
          <w:szCs w:val="21"/>
        </w:rPr>
      </w:pPr>
      <w:bookmarkStart w:id="119" w:name="_Toc25860"/>
      <w:r>
        <w:rPr>
          <w:rFonts w:hint="eastAsia" w:cs="宋体" w:asciiTheme="minorEastAsia" w:hAnsiTheme="minorEastAsia" w:eastAsiaTheme="minorEastAsia"/>
          <w:color w:val="auto"/>
          <w:szCs w:val="21"/>
        </w:rPr>
        <w:t>3投标文件编制格式及规范要求</w:t>
      </w:r>
      <w:bookmarkEnd w:id="11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5080" t="4445" r="4445" b="825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浙江康复医院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消毒供应设备及生物安全柜</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消毒供应设备及生物安全柜</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浙财采确【2019】37381号，37417号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ZJXL-MZKF-201904</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浙江康复医院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6"/>
        <w:rPr>
          <w:rFonts w:hint="eastAsia" w:eastAsiaTheme="minorEastAsia"/>
          <w:color w:val="auto"/>
          <w:lang w:eastAsia="zh-CN"/>
        </w:rPr>
      </w:pPr>
      <w:r>
        <w:rPr>
          <w:rFonts w:hint="eastAsia"/>
          <w:color w:val="auto"/>
        </w:rPr>
        <w:br w:type="page"/>
      </w:r>
      <w:r>
        <w:rPr>
          <w:rFonts w:hint="eastAsia"/>
          <w:color w:val="auto"/>
        </w:rPr>
        <w:t>附件二 开标一览表</w:t>
      </w:r>
    </w:p>
    <w:p>
      <w:pPr>
        <w:pStyle w:val="2"/>
        <w:ind w:firstLine="0" w:firstLineChars="0"/>
        <w:jc w:val="center"/>
        <w:rPr>
          <w:rFonts w:hint="eastAsia" w:ascii="宋体" w:hAnsi="宋体" w:eastAsia="宋体"/>
          <w:b/>
          <w:color w:val="auto"/>
          <w:sz w:val="32"/>
          <w:szCs w:val="32"/>
          <w:lang w:eastAsia="zh-CN"/>
        </w:rPr>
      </w:pPr>
    </w:p>
    <w:p>
      <w:pPr>
        <w:pStyle w:val="2"/>
        <w:ind w:firstLine="0" w:firstLineChars="0"/>
        <w:jc w:val="center"/>
        <w:rPr>
          <w:rFonts w:ascii="宋体" w:hAnsi="宋体" w:eastAsia="宋体"/>
          <w:b/>
          <w:color w:val="auto"/>
          <w:sz w:val="32"/>
          <w:szCs w:val="32"/>
        </w:rPr>
      </w:pPr>
      <w:r>
        <w:rPr>
          <w:rFonts w:hint="eastAsia" w:ascii="宋体" w:hAnsi="宋体" w:eastAsia="宋体"/>
          <w:b/>
          <w:color w:val="auto"/>
          <w:sz w:val="32"/>
          <w:szCs w:val="32"/>
          <w:lang w:eastAsia="zh-CN"/>
        </w:rPr>
        <w:t>开标</w:t>
      </w:r>
      <w:r>
        <w:rPr>
          <w:rFonts w:hint="eastAsia" w:ascii="宋体" w:hAnsi="宋体" w:eastAsia="宋体"/>
          <w:b/>
          <w:color w:val="auto"/>
          <w:sz w:val="32"/>
          <w:szCs w:val="32"/>
        </w:rPr>
        <w:t>一览表</w:t>
      </w:r>
    </w:p>
    <w:p>
      <w:pPr>
        <w:pStyle w:val="2"/>
        <w:ind w:firstLine="210"/>
        <w:rPr>
          <w:rFonts w:ascii="宋体" w:hAnsi="宋体" w:eastAsia="宋体"/>
          <w:color w:val="auto"/>
        </w:rPr>
      </w:pPr>
    </w:p>
    <w:p>
      <w:pPr>
        <w:adjustRightInd w:val="0"/>
        <w:snapToGrid w:val="0"/>
        <w:ind w:firstLine="0" w:firstLineChars="0"/>
        <w:rPr>
          <w:rFonts w:ascii="宋体" w:hAnsi="宋体" w:eastAsia="宋体" w:cs="宋体"/>
          <w:color w:val="auto"/>
          <w:szCs w:val="21"/>
        </w:rPr>
      </w:pPr>
      <w:r>
        <w:rPr>
          <w:rFonts w:hint="eastAsia" w:ascii="宋体" w:hAnsi="宋体" w:eastAsia="宋体" w:cs="宋体"/>
          <w:color w:val="auto"/>
          <w:spacing w:val="20"/>
          <w:szCs w:val="21"/>
        </w:rPr>
        <w:t xml:space="preserve">项目名称：                                 </w:t>
      </w:r>
      <w:r>
        <w:rPr>
          <w:rFonts w:hint="eastAsia" w:ascii="宋体" w:hAnsi="宋体" w:cs="宋体"/>
          <w:color w:val="auto"/>
          <w:spacing w:val="20"/>
          <w:szCs w:val="21"/>
          <w:lang w:eastAsia="zh-CN"/>
        </w:rPr>
        <w:t>招标</w:t>
      </w:r>
      <w:r>
        <w:rPr>
          <w:rFonts w:hint="eastAsia" w:ascii="宋体" w:hAnsi="宋体" w:eastAsia="宋体" w:cs="宋体"/>
          <w:color w:val="auto"/>
          <w:spacing w:val="20"/>
          <w:szCs w:val="21"/>
        </w:rPr>
        <w:t xml:space="preserve">编号：            </w:t>
      </w:r>
    </w:p>
    <w:tbl>
      <w:tblPr>
        <w:tblStyle w:val="21"/>
        <w:tblW w:w="10373" w:type="dxa"/>
        <w:jc w:val="center"/>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477"/>
        <w:gridCol w:w="1991"/>
        <w:gridCol w:w="197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23" w:type="dxa"/>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项目（标段号）名称</w:t>
            </w:r>
          </w:p>
        </w:tc>
        <w:tc>
          <w:tcPr>
            <w:tcW w:w="2477" w:type="dxa"/>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投标报价（元）</w:t>
            </w:r>
          </w:p>
        </w:tc>
        <w:tc>
          <w:tcPr>
            <w:tcW w:w="1991" w:type="dxa"/>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工期（交货期）</w:t>
            </w:r>
          </w:p>
        </w:tc>
        <w:tc>
          <w:tcPr>
            <w:tcW w:w="1977" w:type="dxa"/>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质保期</w:t>
            </w:r>
          </w:p>
        </w:tc>
        <w:tc>
          <w:tcPr>
            <w:tcW w:w="2305" w:type="dxa"/>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23" w:type="dxa"/>
            <w:vAlign w:val="center"/>
          </w:tcPr>
          <w:p>
            <w:pPr>
              <w:pStyle w:val="8"/>
              <w:jc w:val="center"/>
              <w:rPr>
                <w:rFonts w:ascii="宋体" w:hAnsi="宋体" w:eastAsia="宋体"/>
                <w:color w:val="auto"/>
                <w:sz w:val="21"/>
                <w:szCs w:val="21"/>
              </w:rPr>
            </w:pPr>
          </w:p>
        </w:tc>
        <w:tc>
          <w:tcPr>
            <w:tcW w:w="2477" w:type="dxa"/>
            <w:vAlign w:val="center"/>
          </w:tcPr>
          <w:p>
            <w:pPr>
              <w:pStyle w:val="8"/>
              <w:ind w:firstLine="0" w:firstLineChars="0"/>
              <w:rPr>
                <w:rFonts w:ascii="宋体" w:hAnsi="宋体" w:eastAsia="宋体"/>
                <w:color w:val="auto"/>
                <w:sz w:val="21"/>
                <w:szCs w:val="21"/>
              </w:rPr>
            </w:pPr>
            <w:r>
              <w:rPr>
                <w:rFonts w:hint="eastAsia" w:ascii="宋体" w:hAnsi="宋体" w:eastAsia="宋体"/>
                <w:color w:val="auto"/>
                <w:sz w:val="21"/>
                <w:szCs w:val="21"/>
              </w:rPr>
              <w:t>小写：</w:t>
            </w:r>
          </w:p>
          <w:p>
            <w:pPr>
              <w:pStyle w:val="8"/>
              <w:ind w:firstLine="0" w:firstLineChars="0"/>
              <w:rPr>
                <w:rFonts w:ascii="宋体" w:hAnsi="宋体" w:eastAsia="宋体"/>
                <w:color w:val="auto"/>
                <w:sz w:val="21"/>
                <w:szCs w:val="21"/>
              </w:rPr>
            </w:pPr>
            <w:r>
              <w:rPr>
                <w:rFonts w:hint="eastAsia" w:ascii="宋体" w:hAnsi="宋体" w:eastAsia="宋体"/>
                <w:color w:val="auto"/>
                <w:sz w:val="21"/>
                <w:szCs w:val="21"/>
              </w:rPr>
              <w:t>大写：</w:t>
            </w:r>
          </w:p>
        </w:tc>
        <w:tc>
          <w:tcPr>
            <w:tcW w:w="1991" w:type="dxa"/>
            <w:vAlign w:val="center"/>
          </w:tcPr>
          <w:p>
            <w:pPr>
              <w:ind w:firstLine="420"/>
              <w:jc w:val="center"/>
              <w:rPr>
                <w:rFonts w:ascii="宋体" w:hAnsi="宋体" w:eastAsia="宋体"/>
                <w:color w:val="auto"/>
                <w:szCs w:val="21"/>
              </w:rPr>
            </w:pPr>
          </w:p>
        </w:tc>
        <w:tc>
          <w:tcPr>
            <w:tcW w:w="1977" w:type="dxa"/>
            <w:vAlign w:val="center"/>
          </w:tcPr>
          <w:p>
            <w:pPr>
              <w:ind w:firstLine="420"/>
              <w:jc w:val="center"/>
              <w:rPr>
                <w:rFonts w:ascii="宋体" w:hAnsi="宋体" w:eastAsia="宋体"/>
                <w:color w:val="auto"/>
                <w:szCs w:val="21"/>
              </w:rPr>
            </w:pPr>
          </w:p>
        </w:tc>
        <w:tc>
          <w:tcPr>
            <w:tcW w:w="2305" w:type="dxa"/>
            <w:vAlign w:val="center"/>
          </w:tcPr>
          <w:p>
            <w:pPr>
              <w:ind w:firstLine="420"/>
              <w:jc w:val="center"/>
              <w:rPr>
                <w:rFonts w:ascii="宋体" w:hAnsi="宋体" w:eastAsia="宋体"/>
                <w:color w:val="auto"/>
                <w:szCs w:val="21"/>
              </w:rPr>
            </w:pPr>
          </w:p>
        </w:tc>
      </w:tr>
    </w:tbl>
    <w:p>
      <w:pPr>
        <w:pStyle w:val="12"/>
        <w:snapToGrid w:val="0"/>
        <w:jc w:val="left"/>
        <w:rPr>
          <w:rFonts w:asciiTheme="minorEastAsia" w:hAnsiTheme="minorEastAsia" w:eastAsiaTheme="minorEastAsia"/>
          <w:color w:val="auto"/>
          <w:szCs w:val="21"/>
        </w:rPr>
      </w:pPr>
    </w:p>
    <w:p>
      <w:pPr>
        <w:pStyle w:val="12"/>
        <w:snapToGrid w:val="0"/>
        <w:ind w:firstLine="315" w:firstLineChars="15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8"/>
        <w:rPr>
          <w:rFonts w:hint="eastAsia" w:cs="宋体" w:asciiTheme="minorEastAsia" w:hAnsiTheme="minorEastAsia" w:eastAsiaTheme="minorEastAsia"/>
          <w:color w:val="auto"/>
          <w:sz w:val="21"/>
          <w:szCs w:val="21"/>
        </w:rPr>
      </w:pPr>
    </w:p>
    <w:p>
      <w:pPr>
        <w:pStyle w:val="8"/>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0" w:firstLineChars="0"/>
        <w:jc w:val="center"/>
        <w:rPr>
          <w:rFonts w:hint="eastAsia" w:asciiTheme="minorEastAsia" w:hAnsiTheme="minorEastAsia" w:eastAsiaTheme="minorEastAsia"/>
          <w:b/>
          <w:color w:val="auto"/>
          <w:sz w:val="32"/>
          <w:szCs w:val="32"/>
        </w:rPr>
      </w:pPr>
    </w:p>
    <w:p>
      <w:pPr>
        <w:adjustRightInd w:val="0"/>
        <w:snapToGrid w:val="0"/>
        <w:ind w:firstLine="420"/>
        <w:rPr>
          <w:rFonts w:hint="eastAsia" w:cs="宋体" w:asciiTheme="minorEastAsia" w:hAnsiTheme="minorEastAsia" w:eastAsiaTheme="minorEastAsia"/>
          <w:color w:val="auto"/>
          <w:szCs w:val="21"/>
        </w:rPr>
      </w:pPr>
    </w:p>
    <w:p>
      <w:pPr>
        <w:widowControl/>
        <w:ind w:firstLine="0" w:firstLineChars="0"/>
        <w:jc w:val="left"/>
        <w:rPr>
          <w:rFonts w:cs="宋体" w:asciiTheme="minorEastAsia" w:hAnsiTheme="minorEastAsia" w:eastAsiaTheme="minorEastAsia"/>
          <w:color w:val="auto"/>
          <w:szCs w:val="21"/>
        </w:rPr>
        <w:sectPr>
          <w:headerReference r:id="rId15" w:type="default"/>
          <w:footerReference r:id="rId16" w:type="default"/>
          <w:pgSz w:w="11907" w:h="16840"/>
          <w:pgMar w:top="1247" w:right="1304" w:bottom="1020" w:left="1304" w:header="720" w:footer="720" w:gutter="0"/>
          <w:cols w:space="720" w:num="1"/>
        </w:sectPr>
      </w:pPr>
    </w:p>
    <w:p>
      <w:pPr>
        <w:pStyle w:val="6"/>
        <w:rPr>
          <w:rFonts w:ascii="宋体" w:hAnsi="宋体" w:eastAsia="宋体" w:cs="宋体"/>
          <w:color w:val="auto"/>
          <w:sz w:val="21"/>
          <w:szCs w:val="21"/>
        </w:rPr>
      </w:pPr>
      <w:r>
        <w:rPr>
          <w:rFonts w:hint="eastAsia" w:ascii="宋体" w:hAnsi="宋体" w:eastAsia="宋体" w:cs="宋体"/>
          <w:color w:val="auto"/>
          <w:sz w:val="21"/>
          <w:szCs w:val="21"/>
        </w:rPr>
        <w:t xml:space="preserve">附件三 </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报价明细表</w:t>
      </w:r>
    </w:p>
    <w:tbl>
      <w:tblPr>
        <w:tblStyle w:val="22"/>
        <w:tblpPr w:leftFromText="180" w:rightFromText="180" w:vertAnchor="text" w:tblpX="15644" w:tblpY="126"/>
        <w:tblOverlap w:val="never"/>
        <w:tblW w:w="1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rPr>
                <w:rFonts w:ascii="宋体" w:hAnsi="宋体" w:eastAsia="宋体"/>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rPr>
                <w:rFonts w:ascii="宋体" w:hAnsi="宋体" w:eastAsia="宋体"/>
                <w:color w:val="auto"/>
                <w:vertAlign w:val="baseline"/>
              </w:rPr>
            </w:pPr>
          </w:p>
        </w:tc>
      </w:tr>
    </w:tbl>
    <w:p>
      <w:pPr>
        <w:ind w:firstLine="420"/>
        <w:rPr>
          <w:rFonts w:ascii="宋体" w:hAnsi="宋体" w:eastAsia="宋体"/>
          <w:color w:val="auto"/>
        </w:rPr>
      </w:pPr>
    </w:p>
    <w:p>
      <w:pPr>
        <w:pStyle w:val="2"/>
        <w:ind w:firstLine="0" w:firstLineChars="0"/>
        <w:jc w:val="center"/>
        <w:rPr>
          <w:rFonts w:ascii="宋体" w:hAnsi="宋体" w:eastAsia="宋体"/>
          <w:b/>
          <w:color w:val="auto"/>
          <w:sz w:val="32"/>
          <w:szCs w:val="32"/>
        </w:rPr>
      </w:pPr>
      <w:r>
        <w:rPr>
          <w:rFonts w:hint="eastAsia" w:ascii="宋体" w:hAnsi="宋体" w:eastAsia="宋体" w:cs="宋体"/>
          <w:b/>
          <w:color w:val="auto"/>
          <w:sz w:val="32"/>
          <w:szCs w:val="32"/>
          <w:lang w:eastAsia="zh-CN"/>
        </w:rPr>
        <w:t>投标</w:t>
      </w:r>
      <w:r>
        <w:rPr>
          <w:rFonts w:hint="eastAsia" w:ascii="宋体" w:hAnsi="宋体" w:eastAsia="宋体" w:cs="宋体"/>
          <w:b/>
          <w:color w:val="auto"/>
          <w:sz w:val="32"/>
          <w:szCs w:val="32"/>
        </w:rPr>
        <w:t>报价明细表</w:t>
      </w:r>
    </w:p>
    <w:p>
      <w:pPr>
        <w:pStyle w:val="2"/>
        <w:ind w:firstLine="210"/>
        <w:rPr>
          <w:rFonts w:ascii="宋体" w:hAnsi="宋体" w:eastAsia="宋体"/>
          <w:color w:val="auto"/>
        </w:rPr>
      </w:pPr>
    </w:p>
    <w:p>
      <w:pPr>
        <w:adjustRightInd w:val="0"/>
        <w:snapToGrid w:val="0"/>
        <w:ind w:firstLine="735" w:firstLineChars="350"/>
        <w:rPr>
          <w:rFonts w:ascii="宋体" w:hAnsi="宋体" w:eastAsia="宋体" w:cs="宋体"/>
          <w:color w:val="auto"/>
          <w:szCs w:val="21"/>
        </w:rPr>
      </w:pPr>
      <w:r>
        <w:rPr>
          <w:rFonts w:hint="eastAsia" w:ascii="宋体" w:hAnsi="宋体" w:eastAsia="宋体" w:cs="宋体"/>
          <w:color w:val="auto"/>
          <w:szCs w:val="21"/>
        </w:rPr>
        <w:t xml:space="preserve">项目名称：                                </w:t>
      </w:r>
      <w:r>
        <w:rPr>
          <w:rFonts w:hint="eastAsia" w:ascii="宋体" w:hAnsi="宋体" w:cs="宋体"/>
          <w:color w:val="auto"/>
          <w:szCs w:val="21"/>
          <w:lang w:eastAsia="zh-CN"/>
        </w:rPr>
        <w:t>招标</w:t>
      </w:r>
      <w:r>
        <w:rPr>
          <w:rFonts w:hint="eastAsia" w:ascii="宋体" w:hAnsi="宋体" w:eastAsia="宋体" w:cs="宋体"/>
          <w:color w:val="auto"/>
          <w:szCs w:val="21"/>
        </w:rPr>
        <w:t>编号：                           （价格单位：元人民币）</w:t>
      </w:r>
    </w:p>
    <w:tbl>
      <w:tblPr>
        <w:tblStyle w:val="21"/>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25"/>
        <w:gridCol w:w="1085"/>
        <w:gridCol w:w="1066"/>
        <w:gridCol w:w="1337"/>
        <w:gridCol w:w="1331"/>
        <w:gridCol w:w="851"/>
        <w:gridCol w:w="992"/>
        <w:gridCol w:w="1276"/>
        <w:gridCol w:w="127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序号</w:t>
            </w:r>
          </w:p>
        </w:tc>
        <w:tc>
          <w:tcPr>
            <w:tcW w:w="1925"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货物名称/内容</w:t>
            </w:r>
          </w:p>
        </w:tc>
        <w:tc>
          <w:tcPr>
            <w:tcW w:w="1085" w:type="dxa"/>
            <w:tcBorders>
              <w:right w:val="single" w:color="auto" w:sz="2" w:space="0"/>
            </w:tcBorders>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品牌</w:t>
            </w:r>
          </w:p>
        </w:tc>
        <w:tc>
          <w:tcPr>
            <w:tcW w:w="1066" w:type="dxa"/>
            <w:tcBorders>
              <w:left w:val="single" w:color="auto" w:sz="2" w:space="0"/>
              <w:right w:val="single" w:color="auto" w:sz="2" w:space="0"/>
            </w:tcBorders>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型号规格</w:t>
            </w:r>
          </w:p>
        </w:tc>
        <w:tc>
          <w:tcPr>
            <w:tcW w:w="1337" w:type="dxa"/>
            <w:tcBorders>
              <w:left w:val="single" w:color="auto" w:sz="2" w:space="0"/>
            </w:tcBorders>
            <w:vAlign w:val="center"/>
          </w:tcPr>
          <w:p>
            <w:pPr>
              <w:ind w:firstLine="0" w:firstLineChars="0"/>
              <w:jc w:val="center"/>
              <w:rPr>
                <w:rFonts w:ascii="宋体" w:hAnsi="宋体" w:eastAsia="宋体" w:cs="宋体"/>
                <w:color w:val="auto"/>
                <w:szCs w:val="21"/>
              </w:rPr>
            </w:pPr>
            <w:r>
              <w:rPr>
                <w:rFonts w:hint="eastAsia" w:ascii="宋体" w:hAnsi="宋体" w:cs="宋体"/>
                <w:color w:val="auto"/>
                <w:szCs w:val="21"/>
                <w:lang w:eastAsia="zh-CN"/>
              </w:rPr>
              <w:t>原</w:t>
            </w:r>
            <w:r>
              <w:rPr>
                <w:rFonts w:hint="eastAsia" w:ascii="宋体" w:hAnsi="宋体" w:eastAsia="宋体" w:cs="宋体"/>
                <w:color w:val="auto"/>
                <w:szCs w:val="21"/>
              </w:rPr>
              <w:t>产地</w:t>
            </w:r>
          </w:p>
        </w:tc>
        <w:tc>
          <w:tcPr>
            <w:tcW w:w="1331" w:type="dxa"/>
            <w:tcBorders>
              <w:left w:val="single" w:color="auto" w:sz="4" w:space="0"/>
            </w:tcBorders>
            <w:vAlign w:val="center"/>
          </w:tcPr>
          <w:p>
            <w:pPr>
              <w:ind w:firstLine="0" w:firstLineChars="0"/>
              <w:jc w:val="center"/>
              <w:rPr>
                <w:rFonts w:hint="eastAsia" w:ascii="宋体" w:hAnsi="宋体" w:eastAsia="宋体" w:cs="宋体"/>
                <w:color w:val="auto"/>
                <w:szCs w:val="21"/>
                <w:lang w:eastAsia="zh-CN"/>
              </w:rPr>
            </w:pPr>
            <w:r>
              <w:rPr>
                <w:rFonts w:hint="eastAsia" w:ascii="宋体" w:hAnsi="宋体" w:cs="宋体"/>
                <w:color w:val="auto"/>
                <w:szCs w:val="21"/>
                <w:lang w:eastAsia="zh-CN"/>
              </w:rPr>
              <w:t>制造商名称</w:t>
            </w:r>
          </w:p>
        </w:tc>
        <w:tc>
          <w:tcPr>
            <w:tcW w:w="851" w:type="dxa"/>
            <w:tcBorders>
              <w:left w:val="single" w:color="auto" w:sz="2" w:space="0"/>
            </w:tcBorders>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单位</w:t>
            </w:r>
          </w:p>
        </w:tc>
        <w:tc>
          <w:tcPr>
            <w:tcW w:w="992"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数量</w:t>
            </w:r>
          </w:p>
        </w:tc>
        <w:tc>
          <w:tcPr>
            <w:tcW w:w="12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单价</w:t>
            </w:r>
          </w:p>
        </w:tc>
        <w:tc>
          <w:tcPr>
            <w:tcW w:w="1275"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总价</w:t>
            </w:r>
          </w:p>
        </w:tc>
        <w:tc>
          <w:tcPr>
            <w:tcW w:w="1298"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一</w:t>
            </w:r>
          </w:p>
        </w:tc>
        <w:tc>
          <w:tcPr>
            <w:tcW w:w="1925" w:type="dxa"/>
            <w:vAlign w:val="center"/>
          </w:tcPr>
          <w:p>
            <w:pPr>
              <w:ind w:firstLine="420"/>
              <w:rPr>
                <w:rFonts w:ascii="宋体" w:hAnsi="宋体" w:eastAsia="宋体" w:cs="宋体"/>
                <w:color w:val="auto"/>
                <w:szCs w:val="21"/>
              </w:rPr>
            </w:pPr>
          </w:p>
        </w:tc>
        <w:tc>
          <w:tcPr>
            <w:tcW w:w="1085" w:type="dxa"/>
            <w:tcBorders>
              <w:right w:val="single" w:color="auto" w:sz="2" w:space="0"/>
            </w:tcBorders>
            <w:vAlign w:val="center"/>
          </w:tcPr>
          <w:p>
            <w:pPr>
              <w:ind w:firstLine="420"/>
              <w:rPr>
                <w:rFonts w:ascii="宋体" w:hAnsi="宋体" w:eastAsia="宋体" w:cs="宋体"/>
                <w:color w:val="auto"/>
                <w:szCs w:val="21"/>
              </w:rPr>
            </w:pPr>
          </w:p>
        </w:tc>
        <w:tc>
          <w:tcPr>
            <w:tcW w:w="1066" w:type="dxa"/>
            <w:tcBorders>
              <w:left w:val="single" w:color="auto" w:sz="2" w:space="0"/>
              <w:right w:val="single" w:color="auto" w:sz="2" w:space="0"/>
            </w:tcBorders>
            <w:vAlign w:val="center"/>
          </w:tcPr>
          <w:p>
            <w:pPr>
              <w:ind w:firstLine="420"/>
              <w:rPr>
                <w:rFonts w:ascii="宋体" w:hAnsi="宋体" w:eastAsia="宋体" w:cs="宋体"/>
                <w:color w:val="auto"/>
                <w:szCs w:val="21"/>
              </w:rPr>
            </w:pPr>
          </w:p>
        </w:tc>
        <w:tc>
          <w:tcPr>
            <w:tcW w:w="1337" w:type="dxa"/>
            <w:tcBorders>
              <w:left w:val="single" w:color="auto" w:sz="2" w:space="0"/>
            </w:tcBorders>
            <w:vAlign w:val="center"/>
          </w:tcPr>
          <w:p>
            <w:pPr>
              <w:ind w:firstLine="420"/>
              <w:rPr>
                <w:rFonts w:ascii="宋体" w:hAnsi="宋体" w:eastAsia="宋体" w:cs="宋体"/>
                <w:color w:val="auto"/>
                <w:szCs w:val="21"/>
              </w:rPr>
            </w:pPr>
          </w:p>
        </w:tc>
        <w:tc>
          <w:tcPr>
            <w:tcW w:w="1331" w:type="dxa"/>
            <w:tcBorders>
              <w:left w:val="single" w:color="auto" w:sz="4" w:space="0"/>
            </w:tcBorders>
            <w:vAlign w:val="center"/>
          </w:tcPr>
          <w:p>
            <w:pPr>
              <w:ind w:firstLine="420"/>
              <w:rPr>
                <w:rFonts w:ascii="宋体" w:hAnsi="宋体" w:eastAsia="宋体" w:cs="宋体"/>
                <w:color w:val="auto"/>
                <w:szCs w:val="21"/>
              </w:rPr>
            </w:pPr>
          </w:p>
        </w:tc>
        <w:tc>
          <w:tcPr>
            <w:tcW w:w="851" w:type="dxa"/>
            <w:tcBorders>
              <w:left w:val="single" w:color="auto" w:sz="2" w:space="0"/>
            </w:tcBorders>
            <w:vAlign w:val="center"/>
          </w:tcPr>
          <w:p>
            <w:pPr>
              <w:ind w:firstLine="420"/>
              <w:rPr>
                <w:rFonts w:ascii="宋体" w:hAnsi="宋体" w:eastAsia="宋体" w:cs="宋体"/>
                <w:color w:val="auto"/>
                <w:szCs w:val="21"/>
              </w:rPr>
            </w:pPr>
          </w:p>
        </w:tc>
        <w:tc>
          <w:tcPr>
            <w:tcW w:w="992" w:type="dxa"/>
            <w:vAlign w:val="center"/>
          </w:tcPr>
          <w:p>
            <w:pPr>
              <w:ind w:firstLine="420"/>
              <w:rPr>
                <w:rFonts w:ascii="宋体" w:hAnsi="宋体" w:eastAsia="宋体" w:cs="宋体"/>
                <w:color w:val="auto"/>
                <w:szCs w:val="21"/>
              </w:rPr>
            </w:pPr>
          </w:p>
        </w:tc>
        <w:tc>
          <w:tcPr>
            <w:tcW w:w="1276" w:type="dxa"/>
            <w:vAlign w:val="center"/>
          </w:tcPr>
          <w:p>
            <w:pPr>
              <w:ind w:firstLine="420"/>
              <w:rPr>
                <w:rFonts w:ascii="宋体" w:hAnsi="宋体" w:eastAsia="宋体" w:cs="宋体"/>
                <w:color w:val="auto"/>
                <w:szCs w:val="21"/>
              </w:rPr>
            </w:pP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r>
              <w:rPr>
                <w:rFonts w:hint="eastAsia" w:ascii="宋体" w:hAnsi="宋体" w:eastAsia="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1</w:t>
            </w:r>
          </w:p>
        </w:tc>
        <w:tc>
          <w:tcPr>
            <w:tcW w:w="1925" w:type="dxa"/>
            <w:vAlign w:val="center"/>
          </w:tcPr>
          <w:p>
            <w:pPr>
              <w:ind w:firstLine="420"/>
              <w:rPr>
                <w:rFonts w:ascii="宋体" w:hAnsi="宋体" w:eastAsia="宋体" w:cs="宋体"/>
                <w:color w:val="auto"/>
                <w:szCs w:val="21"/>
              </w:rPr>
            </w:pPr>
          </w:p>
        </w:tc>
        <w:tc>
          <w:tcPr>
            <w:tcW w:w="1085" w:type="dxa"/>
            <w:tcBorders>
              <w:right w:val="single" w:color="auto" w:sz="2" w:space="0"/>
            </w:tcBorders>
            <w:vAlign w:val="center"/>
          </w:tcPr>
          <w:p>
            <w:pPr>
              <w:ind w:firstLine="420"/>
              <w:rPr>
                <w:rFonts w:ascii="宋体" w:hAnsi="宋体" w:eastAsia="宋体" w:cs="宋体"/>
                <w:color w:val="auto"/>
                <w:szCs w:val="21"/>
              </w:rPr>
            </w:pPr>
          </w:p>
        </w:tc>
        <w:tc>
          <w:tcPr>
            <w:tcW w:w="1066" w:type="dxa"/>
            <w:tcBorders>
              <w:left w:val="single" w:color="auto" w:sz="2" w:space="0"/>
              <w:right w:val="single" w:color="auto" w:sz="2" w:space="0"/>
            </w:tcBorders>
            <w:vAlign w:val="center"/>
          </w:tcPr>
          <w:p>
            <w:pPr>
              <w:ind w:firstLine="420"/>
              <w:rPr>
                <w:rFonts w:ascii="宋体" w:hAnsi="宋体" w:eastAsia="宋体" w:cs="宋体"/>
                <w:color w:val="auto"/>
                <w:szCs w:val="21"/>
              </w:rPr>
            </w:pPr>
          </w:p>
        </w:tc>
        <w:tc>
          <w:tcPr>
            <w:tcW w:w="1337" w:type="dxa"/>
            <w:tcBorders>
              <w:left w:val="single" w:color="auto" w:sz="2" w:space="0"/>
            </w:tcBorders>
            <w:vAlign w:val="center"/>
          </w:tcPr>
          <w:p>
            <w:pPr>
              <w:ind w:firstLine="420"/>
              <w:rPr>
                <w:rFonts w:ascii="宋体" w:hAnsi="宋体" w:eastAsia="宋体" w:cs="宋体"/>
                <w:color w:val="auto"/>
                <w:szCs w:val="21"/>
              </w:rPr>
            </w:pPr>
          </w:p>
        </w:tc>
        <w:tc>
          <w:tcPr>
            <w:tcW w:w="1331" w:type="dxa"/>
            <w:tcBorders>
              <w:left w:val="single" w:color="auto" w:sz="4" w:space="0"/>
            </w:tcBorders>
            <w:vAlign w:val="center"/>
          </w:tcPr>
          <w:p>
            <w:pPr>
              <w:ind w:firstLine="420"/>
              <w:rPr>
                <w:rFonts w:ascii="宋体" w:hAnsi="宋体" w:eastAsia="宋体" w:cs="宋体"/>
                <w:color w:val="auto"/>
                <w:szCs w:val="21"/>
              </w:rPr>
            </w:pPr>
          </w:p>
        </w:tc>
        <w:tc>
          <w:tcPr>
            <w:tcW w:w="851" w:type="dxa"/>
            <w:tcBorders>
              <w:left w:val="single" w:color="auto" w:sz="2" w:space="0"/>
            </w:tcBorders>
            <w:vAlign w:val="center"/>
          </w:tcPr>
          <w:p>
            <w:pPr>
              <w:ind w:firstLine="420"/>
              <w:rPr>
                <w:rFonts w:ascii="宋体" w:hAnsi="宋体" w:eastAsia="宋体" w:cs="宋体"/>
                <w:color w:val="auto"/>
                <w:szCs w:val="21"/>
              </w:rPr>
            </w:pPr>
          </w:p>
        </w:tc>
        <w:tc>
          <w:tcPr>
            <w:tcW w:w="992" w:type="dxa"/>
            <w:vAlign w:val="center"/>
          </w:tcPr>
          <w:p>
            <w:pPr>
              <w:ind w:firstLine="420"/>
              <w:rPr>
                <w:rFonts w:ascii="宋体" w:hAnsi="宋体" w:eastAsia="宋体" w:cs="宋体"/>
                <w:color w:val="auto"/>
                <w:szCs w:val="21"/>
              </w:rPr>
            </w:pPr>
          </w:p>
        </w:tc>
        <w:tc>
          <w:tcPr>
            <w:tcW w:w="1276" w:type="dxa"/>
            <w:vAlign w:val="center"/>
          </w:tcPr>
          <w:p>
            <w:pPr>
              <w:ind w:firstLine="420"/>
              <w:rPr>
                <w:rFonts w:ascii="宋体" w:hAnsi="宋体" w:eastAsia="宋体" w:cs="宋体"/>
                <w:color w:val="auto"/>
                <w:szCs w:val="21"/>
              </w:rPr>
            </w:pP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w:t>
            </w:r>
          </w:p>
        </w:tc>
        <w:tc>
          <w:tcPr>
            <w:tcW w:w="1925" w:type="dxa"/>
            <w:vAlign w:val="center"/>
          </w:tcPr>
          <w:p>
            <w:pPr>
              <w:ind w:firstLine="420"/>
              <w:rPr>
                <w:rFonts w:ascii="宋体" w:hAnsi="宋体" w:eastAsia="宋体" w:cs="宋体"/>
                <w:color w:val="auto"/>
                <w:szCs w:val="21"/>
              </w:rPr>
            </w:pPr>
            <w:r>
              <w:rPr>
                <w:rFonts w:hint="eastAsia" w:ascii="宋体" w:hAnsi="宋体" w:eastAsia="宋体" w:cs="宋体"/>
                <w:color w:val="auto"/>
                <w:szCs w:val="21"/>
              </w:rPr>
              <w:t xml:space="preserve"> </w:t>
            </w:r>
          </w:p>
        </w:tc>
        <w:tc>
          <w:tcPr>
            <w:tcW w:w="1085" w:type="dxa"/>
            <w:vAlign w:val="center"/>
          </w:tcPr>
          <w:p>
            <w:pPr>
              <w:ind w:firstLine="420"/>
              <w:rPr>
                <w:rFonts w:ascii="宋体" w:hAnsi="宋体" w:eastAsia="宋体" w:cs="宋体"/>
                <w:color w:val="auto"/>
                <w:szCs w:val="21"/>
              </w:rPr>
            </w:pPr>
          </w:p>
        </w:tc>
        <w:tc>
          <w:tcPr>
            <w:tcW w:w="1066" w:type="dxa"/>
            <w:vAlign w:val="center"/>
          </w:tcPr>
          <w:p>
            <w:pPr>
              <w:ind w:firstLine="420"/>
              <w:rPr>
                <w:rFonts w:ascii="宋体" w:hAnsi="宋体" w:eastAsia="宋体" w:cs="宋体"/>
                <w:color w:val="auto"/>
                <w:szCs w:val="21"/>
              </w:rPr>
            </w:pPr>
          </w:p>
        </w:tc>
        <w:tc>
          <w:tcPr>
            <w:tcW w:w="1337" w:type="dxa"/>
            <w:vAlign w:val="center"/>
          </w:tcPr>
          <w:p>
            <w:pPr>
              <w:ind w:firstLine="420"/>
              <w:rPr>
                <w:rFonts w:ascii="宋体" w:hAnsi="宋体" w:eastAsia="宋体" w:cs="宋体"/>
                <w:color w:val="auto"/>
                <w:szCs w:val="21"/>
              </w:rPr>
            </w:pPr>
          </w:p>
        </w:tc>
        <w:tc>
          <w:tcPr>
            <w:tcW w:w="1331" w:type="dxa"/>
            <w:vAlign w:val="center"/>
          </w:tcPr>
          <w:p>
            <w:pPr>
              <w:ind w:firstLine="420"/>
              <w:rPr>
                <w:rFonts w:ascii="宋体" w:hAnsi="宋体" w:eastAsia="宋体" w:cs="宋体"/>
                <w:color w:val="auto"/>
                <w:szCs w:val="21"/>
              </w:rPr>
            </w:pPr>
          </w:p>
        </w:tc>
        <w:tc>
          <w:tcPr>
            <w:tcW w:w="851" w:type="dxa"/>
            <w:vAlign w:val="center"/>
          </w:tcPr>
          <w:p>
            <w:pPr>
              <w:ind w:firstLine="420"/>
              <w:rPr>
                <w:rFonts w:ascii="宋体" w:hAnsi="宋体" w:eastAsia="宋体" w:cs="宋体"/>
                <w:color w:val="auto"/>
                <w:szCs w:val="21"/>
              </w:rPr>
            </w:pPr>
          </w:p>
        </w:tc>
        <w:tc>
          <w:tcPr>
            <w:tcW w:w="992" w:type="dxa"/>
            <w:vAlign w:val="center"/>
          </w:tcPr>
          <w:p>
            <w:pPr>
              <w:ind w:firstLine="420"/>
              <w:rPr>
                <w:rFonts w:ascii="宋体" w:hAnsi="宋体" w:eastAsia="宋体" w:cs="宋体"/>
                <w:color w:val="auto"/>
                <w:szCs w:val="21"/>
              </w:rPr>
            </w:pPr>
          </w:p>
        </w:tc>
        <w:tc>
          <w:tcPr>
            <w:tcW w:w="1276" w:type="dxa"/>
            <w:vAlign w:val="center"/>
          </w:tcPr>
          <w:p>
            <w:pPr>
              <w:ind w:firstLine="420"/>
              <w:rPr>
                <w:rFonts w:ascii="宋体" w:hAnsi="宋体" w:eastAsia="宋体" w:cs="宋体"/>
                <w:color w:val="auto"/>
                <w:szCs w:val="21"/>
              </w:rPr>
            </w:pP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二</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小计</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三</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安装费、调试费</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四</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人工费</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五</w:t>
            </w:r>
          </w:p>
        </w:tc>
        <w:tc>
          <w:tcPr>
            <w:tcW w:w="1925" w:type="dxa"/>
            <w:vAlign w:val="center"/>
          </w:tcPr>
          <w:p>
            <w:pPr>
              <w:ind w:firstLine="0" w:firstLineChars="0"/>
              <w:rPr>
                <w:rFonts w:ascii="宋体" w:hAnsi="宋体" w:eastAsia="宋体" w:cs="宋体"/>
                <w:color w:val="auto"/>
                <w:szCs w:val="21"/>
                <w:u w:val="single"/>
              </w:rPr>
            </w:pPr>
            <w:r>
              <w:rPr>
                <w:rFonts w:hint="eastAsia" w:ascii="宋体" w:hAnsi="宋体" w:eastAsia="宋体" w:cs="宋体"/>
                <w:color w:val="auto"/>
                <w:szCs w:val="21"/>
              </w:rPr>
              <w:t>培训费</w:t>
            </w:r>
          </w:p>
        </w:tc>
        <w:tc>
          <w:tcPr>
            <w:tcW w:w="7938" w:type="dxa"/>
            <w:gridSpan w:val="7"/>
            <w:vAlign w:val="center"/>
          </w:tcPr>
          <w:p>
            <w:pPr>
              <w:ind w:firstLine="0" w:firstLineChars="0"/>
              <w:rPr>
                <w:rFonts w:ascii="宋体" w:hAnsi="宋体" w:eastAsia="宋体" w:cs="宋体"/>
                <w:color w:val="auto"/>
                <w:szCs w:val="21"/>
                <w:u w:val="single"/>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六</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质保费用</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七</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其它费用</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76" w:type="dxa"/>
            <w:vMerge w:val="restart"/>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八</w:t>
            </w:r>
          </w:p>
        </w:tc>
        <w:tc>
          <w:tcPr>
            <w:tcW w:w="1925" w:type="dxa"/>
            <w:vMerge w:val="restart"/>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报价合计=二+三+四+五+六+七</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小写</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76" w:type="dxa"/>
            <w:vMerge w:val="continue"/>
            <w:vAlign w:val="center"/>
          </w:tcPr>
          <w:p>
            <w:pPr>
              <w:widowControl/>
              <w:ind w:firstLine="0" w:firstLineChars="0"/>
              <w:jc w:val="center"/>
              <w:rPr>
                <w:rFonts w:ascii="宋体" w:hAnsi="宋体" w:eastAsia="宋体" w:cs="宋体"/>
                <w:color w:val="auto"/>
                <w:szCs w:val="21"/>
              </w:rPr>
            </w:pPr>
          </w:p>
        </w:tc>
        <w:tc>
          <w:tcPr>
            <w:tcW w:w="1925" w:type="dxa"/>
            <w:vMerge w:val="continue"/>
            <w:vAlign w:val="center"/>
          </w:tcPr>
          <w:p>
            <w:pPr>
              <w:widowControl/>
              <w:ind w:firstLine="0" w:firstLineChars="0"/>
              <w:jc w:val="left"/>
              <w:rPr>
                <w:rFonts w:ascii="宋体" w:hAnsi="宋体" w:eastAsia="宋体" w:cs="宋体"/>
                <w:color w:val="auto"/>
                <w:szCs w:val="21"/>
              </w:rPr>
            </w:pPr>
          </w:p>
        </w:tc>
        <w:tc>
          <w:tcPr>
            <w:tcW w:w="10511" w:type="dxa"/>
            <w:gridSpan w:val="9"/>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大写：</w:t>
            </w:r>
          </w:p>
        </w:tc>
      </w:tr>
    </w:tbl>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注：1、本表合计金额应与“开标一览表”中投标报价相一致；</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2、本表可进一步细分，栏目可另加，应包括为完成本项目可能发生的全部费用。</w:t>
      </w:r>
    </w:p>
    <w:p>
      <w:pPr>
        <w:adjustRightInd w:val="0"/>
        <w:snapToGrid w:val="0"/>
        <w:ind w:firstLine="735" w:firstLineChars="3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授权委托人（签字或盖章）：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日期：</w:t>
      </w:r>
    </w:p>
    <w:p>
      <w:pPr>
        <w:pStyle w:val="6"/>
        <w:rPr>
          <w:color w:val="auto"/>
        </w:rPr>
        <w:sectPr>
          <w:type w:val="continuous"/>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6985" b="635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消毒供应设备及生物安全柜</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6985" b="635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消毒供应设备及生物安全柜</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snapToGrid w:val="0"/>
        <w:spacing w:before="50" w:after="120" w:afterLines="50" w:line="360" w:lineRule="auto"/>
        <w:ind w:left="0" w:leftChars="0" w:firstLine="0"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附件</w:t>
      </w:r>
      <w:r>
        <w:rPr>
          <w:rFonts w:hint="eastAsia" w:ascii="宋体" w:hAnsi="宋体" w:cs="宋体"/>
          <w:b/>
          <w:color w:val="auto"/>
          <w:sz w:val="21"/>
          <w:szCs w:val="21"/>
          <w:lang w:eastAsia="zh-CN"/>
        </w:rPr>
        <w:t>六</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投标声明书格式</w:t>
      </w:r>
    </w:p>
    <w:p>
      <w:pPr>
        <w:snapToGrid w:val="0"/>
        <w:spacing w:before="120" w:beforeLines="50" w:after="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投标声明书</w:t>
      </w:r>
    </w:p>
    <w:p>
      <w:pPr>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lang w:val="en-US" w:eastAsia="zh-CN"/>
        </w:rPr>
        <w:t xml:space="preserve">                 </w:t>
      </w:r>
    </w:p>
    <w:p>
      <w:pPr>
        <w:pageBreakBefore w:val="0"/>
        <w:widowControl w:val="0"/>
        <w:kinsoku/>
        <w:wordWrap/>
        <w:overflowPunct/>
        <w:topLinePunct w:val="0"/>
        <w:autoSpaceDE/>
        <w:autoSpaceDN/>
        <w:bidi w:val="0"/>
        <w:adjustRightInd/>
        <w:snapToGrid w:val="0"/>
        <w:spacing w:before="120" w:beforeLines="50" w:after="50" w:line="360"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_</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（投标人名称）系中华人民共和国合法企业，经营地址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我方愿意参加贵方组织的</w:t>
      </w:r>
      <w:r>
        <w:rPr>
          <w:rFonts w:hint="eastAsia" w:ascii="宋体" w:hAnsi="宋体" w:eastAsia="宋体" w:cs="宋体"/>
          <w:color w:val="auto"/>
          <w:sz w:val="21"/>
          <w:szCs w:val="21"/>
          <w:u w:val="none"/>
        </w:rPr>
        <w:t>____</w:t>
      </w:r>
      <w:r>
        <w:rPr>
          <w:rFonts w:hint="eastAsia" w:ascii="宋体" w:hAnsi="宋体" w:eastAsia="宋体" w:cs="宋体"/>
          <w:color w:val="auto"/>
          <w:sz w:val="21"/>
          <w:szCs w:val="21"/>
          <w:u w:val="single"/>
        </w:rPr>
        <w:t>_</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项目的投标，为便于贵方公正、择优地确定中标人及其投标产品和服务，我方就参加本次投标有关事项郑重声明如下：</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.我方向贵方提交的所有投标文件、资料都是准确的和真实的</w:t>
      </w:r>
      <w:r>
        <w:rPr>
          <w:rFonts w:hint="eastAsia" w:ascii="宋体" w:hAnsi="宋体" w:cs="宋体"/>
          <w:color w:val="auto"/>
          <w:sz w:val="21"/>
          <w:szCs w:val="21"/>
          <w:lang w:eastAsia="zh-CN"/>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.我方不是采购人的附属机构；</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我方参加本采购项目的整体设计、规范编制或者项目管理、监理、检测等服务情况：</w:t>
      </w:r>
      <w:r>
        <w:rPr>
          <w:rFonts w:hint="eastAsia" w:ascii="宋体" w:hAnsi="宋体" w:cs="宋体"/>
          <w:color w:val="auto"/>
          <w:sz w:val="21"/>
          <w:szCs w:val="21"/>
          <w:u w:val="single"/>
          <w:lang w:eastAsia="zh-CN"/>
        </w:rPr>
        <w:t>有或无</w:t>
      </w:r>
      <w:r>
        <w:rPr>
          <w:rFonts w:hint="eastAsia" w:ascii="宋体" w:hAnsi="宋体" w:eastAsia="宋体" w:cs="宋体"/>
          <w:color w:val="auto"/>
          <w:sz w:val="21"/>
          <w:szCs w:val="21"/>
          <w:u w:val="single"/>
        </w:rPr>
        <w:t>　</w:t>
      </w:r>
      <w:r>
        <w:rPr>
          <w:rFonts w:hint="eastAsia" w:ascii="宋体" w:hAnsi="宋体" w:cs="宋体"/>
          <w:color w:val="auto"/>
          <w:sz w:val="21"/>
          <w:szCs w:val="21"/>
          <w:u w:val="single"/>
          <w:lang w:eastAsia="zh-CN"/>
        </w:rPr>
        <w:t>；</w:t>
      </w:r>
      <w:r>
        <w:rPr>
          <w:rFonts w:hint="eastAsia" w:ascii="宋体" w:hAnsi="宋体" w:eastAsia="宋体" w:cs="宋体"/>
          <w:color w:val="auto"/>
          <w:sz w:val="21"/>
          <w:szCs w:val="21"/>
          <w:u w:val="single"/>
        </w:rPr>
        <w:t>　　　　　　　　　　　　　　　　　　　　　　　</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我方直接控股的单位、由我方管理的单位，没有同时参加本</w:t>
      </w:r>
      <w:r>
        <w:rPr>
          <w:rFonts w:hint="eastAsia" w:ascii="宋体" w:hAnsi="宋体" w:eastAsia="宋体" w:cs="宋体"/>
          <w:color w:val="auto"/>
          <w:sz w:val="21"/>
          <w:szCs w:val="21"/>
        </w:rPr>
        <w:t>合同项下</w:t>
      </w:r>
      <w:r>
        <w:rPr>
          <w:rFonts w:hint="eastAsia" w:ascii="宋体" w:hAnsi="宋体" w:eastAsia="宋体" w:cs="宋体"/>
          <w:color w:val="auto"/>
          <w:kern w:val="0"/>
          <w:sz w:val="21"/>
          <w:szCs w:val="21"/>
        </w:rPr>
        <w:t>的投标</w:t>
      </w:r>
      <w:r>
        <w:rPr>
          <w:rFonts w:hint="eastAsia" w:ascii="宋体" w:hAnsi="宋体" w:cs="宋体"/>
          <w:color w:val="auto"/>
          <w:kern w:val="0"/>
          <w:sz w:val="21"/>
          <w:szCs w:val="21"/>
          <w:lang w:eastAsia="zh-CN"/>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.我方</w:t>
      </w:r>
      <w:r>
        <w:rPr>
          <w:rFonts w:hint="eastAsia" w:ascii="宋体" w:hAnsi="宋体" w:eastAsia="宋体" w:cs="宋体"/>
          <w:color w:val="auto"/>
          <w:kern w:val="0"/>
          <w:sz w:val="21"/>
          <w:szCs w:val="21"/>
        </w:rPr>
        <w:t>参加本次政府采购活动前三年内，在经营活动中的重大违法记录</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w:t>
      </w:r>
      <w:r>
        <w:rPr>
          <w:rFonts w:hint="eastAsia" w:ascii="宋体" w:hAnsi="宋体" w:cs="宋体"/>
          <w:color w:val="auto"/>
          <w:sz w:val="21"/>
          <w:szCs w:val="21"/>
          <w:u w:val="single"/>
          <w:lang w:eastAsia="zh-CN"/>
        </w:rPr>
        <w:t>有或无</w:t>
      </w:r>
      <w:r>
        <w:rPr>
          <w:rFonts w:hint="eastAsia" w:ascii="宋体" w:hAnsi="宋体" w:eastAsia="宋体" w:cs="宋体"/>
          <w:color w:val="auto"/>
          <w:sz w:val="21"/>
          <w:szCs w:val="21"/>
          <w:u w:val="single"/>
        </w:rPr>
        <w:t>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.以上事项如有虚假或隐瞒，我方愿意承担一切后果，并不再寻求任何旨在减轻或免除法律责任的辩解。</w:t>
      </w: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Style w:val="2"/>
        <w:pageBreakBefore w:val="0"/>
        <w:widowControl w:val="0"/>
        <w:kinsoku/>
        <w:wordWrap/>
        <w:overflowPunct/>
        <w:topLinePunct w:val="0"/>
        <w:autoSpaceDE/>
        <w:autoSpaceDN/>
        <w:bidi w:val="0"/>
        <w:adjustRightInd/>
        <w:spacing w:line="360" w:lineRule="auto"/>
        <w:textAlignment w:val="auto"/>
        <w:rPr>
          <w:rFonts w:hint="eastAsia"/>
          <w:color w:val="auto"/>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w:t>
      </w:r>
      <w:r>
        <w:rPr>
          <w:rFonts w:hint="eastAsia" w:ascii="宋体" w:hAnsi="宋体" w:eastAsia="宋体" w:cs="宋体"/>
          <w:color w:val="auto"/>
          <w:sz w:val="21"/>
          <w:szCs w:val="21"/>
          <w:u w:val="single"/>
        </w:rPr>
        <w:t xml:space="preserve">     （签字或盖章） </w:t>
      </w:r>
    </w:p>
    <w:p>
      <w:pPr>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50" w:after="50" w:line="360" w:lineRule="auto"/>
        <w:ind w:firstLine="420" w:firstLineChars="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50" w:after="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 xml:space="preserve">       （盖章）        </w:t>
      </w:r>
      <w:r>
        <w:rPr>
          <w:rFonts w:hint="eastAsia" w:ascii="宋体" w:hAnsi="宋体" w:eastAsia="宋体" w:cs="宋体"/>
          <w:color w:val="auto"/>
          <w:sz w:val="21"/>
          <w:szCs w:val="21"/>
        </w:rPr>
        <w:t xml:space="preserve">                      年    月    日</w:t>
      </w:r>
    </w:p>
    <w:p>
      <w:pPr>
        <w:pStyle w:val="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ind w:firstLine="422" w:firstLineChars="200"/>
        <w:rPr>
          <w:color w:val="auto"/>
        </w:rPr>
        <w:sectPr>
          <w:pgSz w:w="11907" w:h="16840"/>
          <w:pgMar w:top="1247" w:right="1304" w:bottom="1020" w:left="1304" w:header="720" w:footer="720" w:gutter="0"/>
          <w:cols w:space="720" w:num="1"/>
          <w:docGrid w:linePitch="286" w:charSpace="0"/>
        </w:sectPr>
      </w:pPr>
      <w:r>
        <w:rPr>
          <w:rFonts w:hint="eastAsia" w:ascii="宋体" w:hAnsi="宋体" w:eastAsia="宋体" w:cs="宋体"/>
          <w:b/>
          <w:color w:val="auto"/>
          <w:sz w:val="21"/>
          <w:szCs w:val="21"/>
          <w:lang w:eastAsia="zh-CN"/>
        </w:rPr>
        <w:t>备注：第</w:t>
      </w:r>
      <w:r>
        <w:rPr>
          <w:rFonts w:hint="eastAsia" w:ascii="宋体" w:hAnsi="宋体" w:eastAsia="宋体" w:cs="宋体"/>
          <w:b/>
          <w:color w:val="auto"/>
          <w:sz w:val="21"/>
          <w:szCs w:val="21"/>
          <w:lang w:val="en-US" w:eastAsia="zh-CN"/>
        </w:rPr>
        <w:t>3条，第5条如填写“有”，资格审查不合格。</w:t>
      </w:r>
      <w:r>
        <w:rPr>
          <w:rFonts w:hint="eastAsia" w:ascii="宋体" w:hAnsi="宋体" w:eastAsia="宋体" w:cs="宋体"/>
          <w:b/>
          <w:color w:val="auto"/>
          <w:sz w:val="21"/>
          <w:szCs w:val="21"/>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1"/>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1"/>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消耗品购买价格清单</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消耗品购买价格清单</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pacing w:val="20"/>
          <w:szCs w:val="21"/>
        </w:rPr>
        <w:t xml:space="preserve">                （价格单位：元人民币）</w:t>
      </w:r>
    </w:p>
    <w:tbl>
      <w:tblPr>
        <w:tblStyle w:val="21"/>
        <w:tblW w:w="13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81"/>
        <w:gridCol w:w="1843"/>
        <w:gridCol w:w="2268"/>
        <w:gridCol w:w="850"/>
        <w:gridCol w:w="1418"/>
        <w:gridCol w:w="1843"/>
        <w:gridCol w:w="14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8" w:type="dxa"/>
            <w:vAlign w:val="center"/>
          </w:tcPr>
          <w:p>
            <w:pPr>
              <w:ind w:firstLine="0" w:firstLineChars="0"/>
              <w:jc w:val="center"/>
              <w:rPr>
                <w:rFonts w:cs="宋体" w:asciiTheme="minorEastAsia" w:hAnsiTheme="minorEastAsia" w:eastAsiaTheme="minorEastAsia"/>
                <w:caps/>
                <w:color w:val="auto"/>
                <w:spacing w:val="20"/>
                <w:szCs w:val="21"/>
              </w:rPr>
            </w:pPr>
            <w:bookmarkStart w:id="120" w:name="_Hlk8685587"/>
            <w:r>
              <w:rPr>
                <w:rFonts w:hint="eastAsia" w:cs="宋体" w:asciiTheme="minorEastAsia" w:hAnsiTheme="minorEastAsia" w:eastAsiaTheme="minorEastAsia"/>
                <w:caps/>
                <w:color w:val="auto"/>
                <w:spacing w:val="20"/>
                <w:szCs w:val="21"/>
              </w:rPr>
              <w:t>序号</w:t>
            </w:r>
          </w:p>
        </w:tc>
        <w:tc>
          <w:tcPr>
            <w:tcW w:w="1881"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名称</w:t>
            </w:r>
          </w:p>
        </w:tc>
        <w:tc>
          <w:tcPr>
            <w:tcW w:w="1843"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品牌型号规格</w:t>
            </w:r>
          </w:p>
        </w:tc>
        <w:tc>
          <w:tcPr>
            <w:tcW w:w="2268"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产地和制造商名称</w:t>
            </w:r>
          </w:p>
        </w:tc>
        <w:tc>
          <w:tcPr>
            <w:tcW w:w="850"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计量单位</w:t>
            </w:r>
          </w:p>
        </w:tc>
        <w:tc>
          <w:tcPr>
            <w:tcW w:w="1418"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折扣前单价</w:t>
            </w:r>
          </w:p>
        </w:tc>
        <w:tc>
          <w:tcPr>
            <w:tcW w:w="1843"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折扣后单价</w:t>
            </w:r>
          </w:p>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（或折扣率）</w:t>
            </w:r>
          </w:p>
        </w:tc>
        <w:tc>
          <w:tcPr>
            <w:tcW w:w="1497"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对应的投标货物名称</w:t>
            </w:r>
          </w:p>
        </w:tc>
        <w:tc>
          <w:tcPr>
            <w:tcW w:w="1417"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bookmarkEnd w:id="120"/>
    </w:tbl>
    <w:p>
      <w:pPr>
        <w:ind w:firstLine="0" w:firstLineChars="0"/>
        <w:rPr>
          <w:rFonts w:cs="宋体" w:asciiTheme="minorEastAsia" w:hAnsiTheme="minorEastAsia" w:eastAsiaTheme="minorEastAsia"/>
          <w:color w:val="auto"/>
          <w:szCs w:val="21"/>
        </w:rPr>
      </w:pPr>
      <w:bookmarkStart w:id="121" w:name="_Hlk8685661"/>
      <w:r>
        <w:rPr>
          <w:rFonts w:hint="eastAsia" w:cs="宋体" w:asciiTheme="minorEastAsia" w:hAnsiTheme="minorEastAsia" w:eastAsiaTheme="minorEastAsia"/>
          <w:color w:val="auto"/>
          <w:szCs w:val="21"/>
        </w:rPr>
        <w:t>注：1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投标人应提供货物质保期外所需消耗品的清单供采购人参考，消耗品价格不包含在投标报价中。</w:t>
      </w: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折扣率=折扣后单价/折扣前单价</w:t>
      </w:r>
    </w:p>
    <w:bookmarkEnd w:id="121"/>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附件十二  备品备件清单</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备品备件清单</w:t>
      </w:r>
    </w:p>
    <w:p>
      <w:pPr>
        <w:ind w:firstLine="420"/>
        <w:rPr>
          <w:rFonts w:cs="宋体" w:asciiTheme="minorEastAsia" w:hAnsiTheme="minorEastAsia" w:eastAsiaTheme="minorEastAsia"/>
          <w:color w:val="auto"/>
          <w:szCs w:val="21"/>
        </w:rPr>
      </w:pP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1511"/>
        <w:gridCol w:w="99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名称</w:t>
            </w:r>
          </w:p>
        </w:tc>
        <w:tc>
          <w:tcPr>
            <w:tcW w:w="128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品牌</w:t>
            </w:r>
          </w:p>
        </w:tc>
        <w:tc>
          <w:tcPr>
            <w:tcW w:w="151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规格型号</w:t>
            </w:r>
          </w:p>
        </w:tc>
        <w:tc>
          <w:tcPr>
            <w:tcW w:w="99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数量</w:t>
            </w:r>
          </w:p>
        </w:tc>
        <w:tc>
          <w:tcPr>
            <w:tcW w:w="44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产地和制造商名称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注：备品备件是指投标人为本次采购服务所准备的备品备件货物，以保证出现故障时，可以在最短的时间内使用备品备件清单中的货物排除故障。备品备件价格包含在投标报价中。</w:t>
      </w:r>
    </w:p>
    <w:p>
      <w:pPr>
        <w:ind w:firstLine="0" w:firstLineChars="0"/>
        <w:rPr>
          <w:rFonts w:cs="宋体" w:asciiTheme="minorEastAsia" w:hAnsiTheme="minorEastAsia" w:eastAsiaTheme="minorEastAsia"/>
          <w:color w:val="auto"/>
          <w:spacing w:val="20"/>
          <w:szCs w:val="21"/>
        </w:rPr>
      </w:pP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0" w:firstLineChars="0"/>
        <w:jc w:val="center"/>
        <w:rPr>
          <w:rFonts w:cs="宋体" w:asciiTheme="minorEastAsia" w:hAnsiTheme="minorEastAsia" w:eastAsiaTheme="minorEastAsia"/>
          <w:b/>
          <w:color w:val="auto"/>
          <w:spacing w:val="20"/>
          <w:sz w:val="30"/>
          <w:szCs w:val="30"/>
        </w:rPr>
      </w:pPr>
    </w:p>
    <w:p>
      <w:pPr>
        <w:pStyle w:val="5"/>
        <w:rPr>
          <w:rFonts w:ascii="Times New Roman" w:hAnsi="Times New Roman" w:cs="Times New Roman"/>
          <w:color w:val="auto"/>
        </w:rPr>
      </w:pPr>
      <w:r>
        <w:rPr>
          <w:rFonts w:hint="eastAsia"/>
          <w:color w:val="auto"/>
        </w:rPr>
        <w:br w:type="page"/>
      </w:r>
      <w:bookmarkStart w:id="122" w:name="_Toc5384"/>
      <w:r>
        <w:rPr>
          <w:rFonts w:hint="eastAsia"/>
          <w:color w:val="auto"/>
          <w:lang w:eastAsia="zh-CN"/>
        </w:rPr>
        <w:t>附件十三</w:t>
      </w:r>
      <w:r>
        <w:rPr>
          <w:rFonts w:hint="eastAsia"/>
          <w:color w:val="auto"/>
          <w:lang w:val="en-US" w:eastAsia="zh-CN"/>
        </w:rPr>
        <w:t xml:space="preserve"> </w:t>
      </w:r>
      <w:r>
        <w:rPr>
          <w:rFonts w:ascii="宋体" w:hAnsi="宋体" w:cs="Times New Roman"/>
          <w:color w:val="auto"/>
        </w:rPr>
        <w:t>代理证明（或制造商出具的授权书）</w:t>
      </w:r>
      <w:bookmarkEnd w:id="122"/>
    </w:p>
    <w:p>
      <w:pPr>
        <w:snapToGrid w:val="0"/>
        <w:spacing w:line="300" w:lineRule="auto"/>
        <w:jc w:val="center"/>
        <w:rPr>
          <w:rFonts w:eastAsia="华文中宋"/>
          <w:b/>
          <w:bCs/>
          <w:color w:val="auto"/>
          <w:sz w:val="32"/>
          <w:szCs w:val="32"/>
        </w:rPr>
      </w:pPr>
      <w:r>
        <w:rPr>
          <w:rFonts w:ascii="华文中宋" w:hAnsi="华文中宋" w:eastAsia="华文中宋"/>
          <w:b/>
          <w:bCs/>
          <w:color w:val="auto"/>
          <w:sz w:val="32"/>
          <w:szCs w:val="32"/>
        </w:rPr>
        <w:t>代理证明（或制造商出具的授权书）</w:t>
      </w:r>
    </w:p>
    <w:p>
      <w:pPr>
        <w:spacing w:line="360" w:lineRule="auto"/>
        <w:rPr>
          <w:color w:val="auto"/>
        </w:rPr>
      </w:pPr>
      <w:r>
        <w:rPr>
          <w:color w:val="auto"/>
        </w:rPr>
        <w:t xml:space="preserve"> </w:t>
      </w:r>
    </w:p>
    <w:p>
      <w:pPr>
        <w:spacing w:line="360" w:lineRule="auto"/>
        <w:rPr>
          <w:color w:val="auto"/>
          <w:kern w:val="0"/>
        </w:rPr>
      </w:pPr>
      <w:r>
        <w:rPr>
          <w:rFonts w:ascii="宋体" w:hAnsi="宋体"/>
          <w:color w:val="auto"/>
        </w:rPr>
        <w:t>附：</w:t>
      </w:r>
      <w:r>
        <w:rPr>
          <w:rFonts w:ascii="宋体" w:hAnsi="宋体"/>
          <w:color w:val="auto"/>
          <w:kern w:val="0"/>
        </w:rPr>
        <w:t>制造商出具的授权书参考格式：</w:t>
      </w:r>
    </w:p>
    <w:p>
      <w:pPr>
        <w:spacing w:line="360" w:lineRule="auto"/>
        <w:rPr>
          <w:color w:val="auto"/>
        </w:rPr>
      </w:pPr>
      <w:r>
        <w:rPr>
          <w:color w:val="auto"/>
        </w:rPr>
        <w:t xml:space="preserve"> </w:t>
      </w:r>
    </w:p>
    <w:p>
      <w:pPr>
        <w:spacing w:line="360" w:lineRule="auto"/>
        <w:rPr>
          <w:color w:val="auto"/>
        </w:rPr>
      </w:pPr>
      <w:r>
        <w:rPr>
          <w:rFonts w:ascii="宋体" w:hAnsi="宋体"/>
          <w:color w:val="auto"/>
        </w:rPr>
        <w:t>致：</w:t>
      </w:r>
      <w:r>
        <w:rPr>
          <w:color w:val="auto"/>
        </w:rPr>
        <w:t>_</w:t>
      </w:r>
      <w:r>
        <w:rPr>
          <w:color w:val="auto"/>
          <w:u w:val="single"/>
        </w:rPr>
        <w:t>_       _</w:t>
      </w:r>
      <w:r>
        <w:rPr>
          <w:color w:val="auto"/>
        </w:rPr>
        <w:t>_</w:t>
      </w:r>
      <w:r>
        <w:rPr>
          <w:rFonts w:ascii="宋体" w:hAnsi="宋体"/>
          <w:color w:val="auto"/>
        </w:rPr>
        <w:t>（采购代理机构）：</w:t>
      </w:r>
    </w:p>
    <w:p>
      <w:pPr>
        <w:spacing w:line="360" w:lineRule="auto"/>
        <w:rPr>
          <w:color w:val="auto"/>
        </w:rPr>
      </w:pPr>
      <w:r>
        <w:rPr>
          <w:color w:val="auto"/>
        </w:rPr>
        <w:t xml:space="preserve"> </w:t>
      </w:r>
    </w:p>
    <w:p>
      <w:pPr>
        <w:spacing w:line="360" w:lineRule="auto"/>
        <w:rPr>
          <w:color w:val="auto"/>
        </w:rPr>
      </w:pPr>
      <w:r>
        <w:rPr>
          <w:color w:val="auto"/>
        </w:rPr>
        <w:t xml:space="preserve">    </w:t>
      </w:r>
      <w:r>
        <w:rPr>
          <w:rFonts w:ascii="宋体" w:hAnsi="宋体"/>
          <w:color w:val="auto"/>
        </w:rPr>
        <w:t>我们</w:t>
      </w:r>
      <w:r>
        <w:rPr>
          <w:rFonts w:ascii="宋体" w:hAnsi="宋体"/>
          <w:color w:val="auto"/>
          <w:u w:val="single"/>
        </w:rPr>
        <w:t>（</w:t>
      </w:r>
      <w:r>
        <w:rPr>
          <w:rFonts w:ascii="宋体" w:hAnsi="宋体"/>
          <w:i/>
          <w:iCs/>
          <w:color w:val="auto"/>
          <w:u w:val="single"/>
        </w:rPr>
        <w:t>制造商名称</w:t>
      </w:r>
      <w:r>
        <w:rPr>
          <w:rFonts w:ascii="宋体" w:hAnsi="宋体"/>
          <w:color w:val="auto"/>
          <w:u w:val="single"/>
        </w:rPr>
        <w:t>）</w:t>
      </w:r>
      <w:r>
        <w:rPr>
          <w:rFonts w:ascii="宋体" w:hAnsi="宋体"/>
          <w:color w:val="auto"/>
        </w:rPr>
        <w:t>是按</w:t>
      </w:r>
      <w:r>
        <w:rPr>
          <w:rFonts w:ascii="宋体" w:hAnsi="宋体"/>
          <w:color w:val="auto"/>
          <w:u w:val="single"/>
        </w:rPr>
        <w:t>（</w:t>
      </w:r>
      <w:r>
        <w:rPr>
          <w:rFonts w:ascii="宋体" w:hAnsi="宋体"/>
          <w:i/>
          <w:iCs/>
          <w:color w:val="auto"/>
          <w:u w:val="single"/>
        </w:rPr>
        <w:t>国家或地区的名称</w:t>
      </w:r>
      <w:r>
        <w:rPr>
          <w:rFonts w:ascii="宋体" w:hAnsi="宋体"/>
          <w:color w:val="auto"/>
          <w:u w:val="single"/>
        </w:rPr>
        <w:t>）</w:t>
      </w:r>
      <w:r>
        <w:rPr>
          <w:rFonts w:ascii="宋体" w:hAnsi="宋体"/>
          <w:color w:val="auto"/>
        </w:rPr>
        <w:t>法律成立的一家制造商，主要营业地点设在</w:t>
      </w:r>
      <w:r>
        <w:rPr>
          <w:rFonts w:ascii="宋体" w:hAnsi="宋体"/>
          <w:color w:val="auto"/>
          <w:u w:val="single"/>
        </w:rPr>
        <w:t>（</w:t>
      </w:r>
      <w:r>
        <w:rPr>
          <w:rFonts w:ascii="宋体" w:hAnsi="宋体"/>
          <w:i/>
          <w:iCs/>
          <w:color w:val="auto"/>
          <w:u w:val="single"/>
        </w:rPr>
        <w:t>制造商地址</w:t>
      </w:r>
      <w:r>
        <w:rPr>
          <w:rFonts w:ascii="宋体" w:hAnsi="宋体"/>
          <w:color w:val="auto"/>
          <w:u w:val="single"/>
        </w:rPr>
        <w:t>）</w:t>
      </w:r>
      <w:r>
        <w:rPr>
          <w:rFonts w:ascii="宋体" w:hAnsi="宋体"/>
          <w:color w:val="auto"/>
        </w:rPr>
        <w:t>。兹指派按</w:t>
      </w:r>
      <w:r>
        <w:rPr>
          <w:rFonts w:ascii="宋体" w:hAnsi="宋体"/>
          <w:color w:val="auto"/>
          <w:u w:val="single"/>
        </w:rPr>
        <w:t>（</w:t>
      </w:r>
      <w:r>
        <w:rPr>
          <w:rFonts w:ascii="宋体" w:hAnsi="宋体"/>
          <w:i/>
          <w:iCs/>
          <w:color w:val="auto"/>
          <w:u w:val="single"/>
        </w:rPr>
        <w:t>国家名称</w:t>
      </w:r>
      <w:r>
        <w:rPr>
          <w:rFonts w:ascii="宋体" w:hAnsi="宋体"/>
          <w:color w:val="auto"/>
          <w:u w:val="single"/>
        </w:rPr>
        <w:t>）</w:t>
      </w:r>
      <w:r>
        <w:rPr>
          <w:rFonts w:ascii="宋体" w:hAnsi="宋体"/>
          <w:color w:val="auto"/>
        </w:rPr>
        <w:t>的法律正式成立的，主要营业地点设在</w:t>
      </w:r>
      <w:r>
        <w:rPr>
          <w:rFonts w:ascii="宋体" w:hAnsi="宋体"/>
          <w:color w:val="auto"/>
          <w:u w:val="single"/>
        </w:rPr>
        <w:t>（</w:t>
      </w:r>
      <w:r>
        <w:rPr>
          <w:rFonts w:ascii="宋体" w:hAnsi="宋体"/>
          <w:i/>
          <w:iCs/>
          <w:color w:val="auto"/>
          <w:u w:val="single"/>
        </w:rPr>
        <w:t>贸易公司地址</w:t>
      </w:r>
      <w:r>
        <w:rPr>
          <w:rFonts w:ascii="宋体" w:hAnsi="宋体"/>
          <w:color w:val="auto"/>
          <w:u w:val="single"/>
        </w:rPr>
        <w:t>）</w:t>
      </w:r>
      <w:r>
        <w:rPr>
          <w:rFonts w:ascii="宋体" w:hAnsi="宋体"/>
          <w:color w:val="auto"/>
        </w:rPr>
        <w:t>的</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作为我方真正的和合法的代理人进行下列有效的活动：</w:t>
      </w:r>
    </w:p>
    <w:p>
      <w:pPr>
        <w:spacing w:line="360" w:lineRule="auto"/>
        <w:rPr>
          <w:color w:val="auto"/>
        </w:rPr>
      </w:pPr>
      <w:r>
        <w:rPr>
          <w:color w:val="auto"/>
        </w:rPr>
        <w:t xml:space="preserve">    </w:t>
      </w:r>
      <w:r>
        <w:rPr>
          <w:rFonts w:ascii="宋体" w:hAnsi="宋体"/>
          <w:color w:val="auto"/>
        </w:rPr>
        <w:t>（</w:t>
      </w:r>
      <w:r>
        <w:rPr>
          <w:color w:val="auto"/>
        </w:rPr>
        <w:t>1</w:t>
      </w:r>
      <w:r>
        <w:rPr>
          <w:rFonts w:ascii="宋体" w:hAnsi="宋体"/>
          <w:color w:val="auto"/>
        </w:rPr>
        <w:t>）代表我方在中华人民共和国办理贵方第</w:t>
      </w:r>
      <w:r>
        <w:rPr>
          <w:color w:val="auto"/>
          <w:u w:val="single"/>
        </w:rPr>
        <w:t xml:space="preserve">     </w:t>
      </w:r>
      <w:r>
        <w:rPr>
          <w:rFonts w:ascii="宋体" w:hAnsi="宋体"/>
          <w:color w:val="auto"/>
        </w:rPr>
        <w:t>号（项目编号）招标邀请要求提供的由我方制造的货物的有关事宜，并对我方具有约束力。</w:t>
      </w:r>
    </w:p>
    <w:p>
      <w:pPr>
        <w:spacing w:line="360" w:lineRule="auto"/>
        <w:rPr>
          <w:color w:val="auto"/>
        </w:rPr>
      </w:pPr>
      <w:r>
        <w:rPr>
          <w:color w:val="auto"/>
        </w:rPr>
        <w:t xml:space="preserve">    </w:t>
      </w:r>
      <w:r>
        <w:rPr>
          <w:rFonts w:ascii="宋体" w:hAnsi="宋体"/>
          <w:color w:val="auto"/>
        </w:rPr>
        <w:t>（</w:t>
      </w:r>
      <w:r>
        <w:rPr>
          <w:color w:val="auto"/>
        </w:rPr>
        <w:t>2</w:t>
      </w:r>
      <w:r>
        <w:rPr>
          <w:rFonts w:ascii="宋体" w:hAnsi="宋体"/>
          <w:color w:val="auto"/>
        </w:rPr>
        <w:t>）作为制造商，我方保证以投标合作者来约束自己，并对该投标共同和分别承担采购文件中所规定的义务。</w:t>
      </w:r>
    </w:p>
    <w:p>
      <w:pPr>
        <w:spacing w:line="360" w:lineRule="auto"/>
        <w:ind w:firstLine="480"/>
        <w:rPr>
          <w:color w:val="auto"/>
        </w:rPr>
      </w:pPr>
      <w:r>
        <w:rPr>
          <w:rFonts w:ascii="宋体" w:hAnsi="宋体"/>
          <w:color w:val="auto"/>
        </w:rPr>
        <w:t>（</w:t>
      </w:r>
      <w:r>
        <w:rPr>
          <w:color w:val="auto"/>
        </w:rPr>
        <w:t>3</w:t>
      </w:r>
      <w:r>
        <w:rPr>
          <w:rFonts w:ascii="宋体" w:hAnsi="宋体"/>
          <w:color w:val="auto"/>
        </w:rPr>
        <w:t>）我方兹授予</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全权办理和履行上述我方为完成上述各点所必须的事宜，具有替换或撤消的全权。兹确认</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或其正式授权代表依此合法地办理一切事宜。</w:t>
      </w:r>
    </w:p>
    <w:p>
      <w:pPr>
        <w:spacing w:line="360" w:lineRule="auto"/>
        <w:ind w:firstLine="480"/>
        <w:rPr>
          <w:color w:val="auto"/>
        </w:rPr>
      </w:pPr>
      <w:r>
        <w:rPr>
          <w:rFonts w:ascii="宋体" w:hAnsi="宋体"/>
          <w:color w:val="auto"/>
        </w:rPr>
        <w:t>我方于</w:t>
      </w:r>
      <w:r>
        <w:rPr>
          <w:color w:val="auto"/>
          <w:u w:val="single"/>
        </w:rPr>
        <w:t xml:space="preserve">   </w:t>
      </w:r>
      <w:r>
        <w:rPr>
          <w:rFonts w:ascii="宋体" w:hAnsi="宋体"/>
          <w:color w:val="auto"/>
        </w:rPr>
        <w:t>年</w:t>
      </w:r>
      <w:r>
        <w:rPr>
          <w:color w:val="auto"/>
          <w:u w:val="single"/>
        </w:rPr>
        <w:t xml:space="preserve">   </w:t>
      </w:r>
      <w:r>
        <w:rPr>
          <w:rFonts w:ascii="宋体" w:hAnsi="宋体"/>
          <w:color w:val="auto"/>
        </w:rPr>
        <w:t>月</w:t>
      </w:r>
      <w:r>
        <w:rPr>
          <w:color w:val="auto"/>
          <w:u w:val="single"/>
        </w:rPr>
        <w:t xml:space="preserve">  </w:t>
      </w:r>
      <w:r>
        <w:rPr>
          <w:rFonts w:ascii="宋体" w:hAnsi="宋体"/>
          <w:color w:val="auto"/>
        </w:rPr>
        <w:t>日签署本文件，</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于</w:t>
      </w:r>
      <w:r>
        <w:rPr>
          <w:color w:val="auto"/>
          <w:u w:val="single"/>
        </w:rPr>
        <w:t xml:space="preserve">  </w:t>
      </w:r>
      <w:r>
        <w:rPr>
          <w:rFonts w:ascii="宋体" w:hAnsi="宋体"/>
          <w:color w:val="auto"/>
        </w:rPr>
        <w:t>年</w:t>
      </w:r>
      <w:r>
        <w:rPr>
          <w:color w:val="auto"/>
          <w:u w:val="single"/>
        </w:rPr>
        <w:t xml:space="preserve">  </w:t>
      </w:r>
      <w:r>
        <w:rPr>
          <w:color w:val="auto"/>
        </w:rPr>
        <w:t xml:space="preserve"> </w:t>
      </w:r>
      <w:r>
        <w:rPr>
          <w:rFonts w:ascii="宋体" w:hAnsi="宋体"/>
          <w:color w:val="auto"/>
        </w:rPr>
        <w:t>月</w:t>
      </w:r>
      <w:r>
        <w:rPr>
          <w:color w:val="auto"/>
          <w:u w:val="single"/>
        </w:rPr>
        <w:t xml:space="preserve">   </w:t>
      </w:r>
      <w:r>
        <w:rPr>
          <w:rFonts w:ascii="宋体" w:hAnsi="宋体"/>
          <w:color w:val="auto"/>
        </w:rPr>
        <w:t>日接受此件，以此为证。</w:t>
      </w:r>
    </w:p>
    <w:p>
      <w:pPr>
        <w:spacing w:line="360" w:lineRule="auto"/>
        <w:rPr>
          <w:color w:val="auto"/>
        </w:rPr>
      </w:pPr>
      <w:r>
        <w:rPr>
          <w:color w:val="auto"/>
        </w:rPr>
        <w:t xml:space="preserve"> </w:t>
      </w:r>
    </w:p>
    <w:p>
      <w:pPr>
        <w:spacing w:line="360" w:lineRule="auto"/>
        <w:rPr>
          <w:color w:val="auto"/>
        </w:rPr>
      </w:pPr>
      <w:r>
        <w:rPr>
          <w:rFonts w:ascii="宋体" w:hAnsi="宋体"/>
          <w:color w:val="auto"/>
        </w:rPr>
        <w:t>贸易公司名称：</w:t>
      </w:r>
      <w:r>
        <w:rPr>
          <w:color w:val="auto"/>
          <w:u w:val="single"/>
        </w:rPr>
        <w:t xml:space="preserve">                </w:t>
      </w:r>
      <w:r>
        <w:rPr>
          <w:color w:val="auto"/>
        </w:rPr>
        <w:t xml:space="preserve">     </w:t>
      </w:r>
      <w:r>
        <w:rPr>
          <w:rFonts w:ascii="宋体" w:hAnsi="宋体"/>
          <w:color w:val="auto"/>
        </w:rPr>
        <w:t>制造商名称：</w:t>
      </w:r>
      <w:r>
        <w:rPr>
          <w:color w:val="auto"/>
          <w:u w:val="single"/>
        </w:rPr>
        <w:t xml:space="preserve">                 </w:t>
      </w:r>
    </w:p>
    <w:p>
      <w:pPr>
        <w:spacing w:line="360" w:lineRule="auto"/>
        <w:rPr>
          <w:color w:val="auto"/>
        </w:rPr>
      </w:pPr>
      <w:r>
        <w:rPr>
          <w:rFonts w:ascii="宋体" w:hAnsi="宋体"/>
          <w:color w:val="auto"/>
        </w:rPr>
        <w:t>签字人职务和部门：</w:t>
      </w:r>
      <w:r>
        <w:rPr>
          <w:color w:val="auto"/>
          <w:u w:val="single"/>
        </w:rPr>
        <w:t xml:space="preserve">            </w:t>
      </w:r>
      <w:r>
        <w:rPr>
          <w:color w:val="auto"/>
        </w:rPr>
        <w:t xml:space="preserve">     </w:t>
      </w:r>
      <w:r>
        <w:rPr>
          <w:rFonts w:ascii="宋体" w:hAnsi="宋体"/>
          <w:color w:val="auto"/>
        </w:rPr>
        <w:t>签字人职务和部门：</w:t>
      </w:r>
      <w:r>
        <w:rPr>
          <w:color w:val="auto"/>
          <w:u w:val="single"/>
        </w:rPr>
        <w:t xml:space="preserve">           </w:t>
      </w:r>
    </w:p>
    <w:p>
      <w:pPr>
        <w:spacing w:line="360" w:lineRule="auto"/>
        <w:rPr>
          <w:color w:val="auto"/>
        </w:rPr>
      </w:pPr>
      <w:r>
        <w:rPr>
          <w:rFonts w:ascii="宋体" w:hAnsi="宋体"/>
          <w:color w:val="auto"/>
        </w:rPr>
        <w:t>签字人姓名：</w:t>
      </w:r>
      <w:r>
        <w:rPr>
          <w:color w:val="auto"/>
          <w:u w:val="single"/>
        </w:rPr>
        <w:t xml:space="preserve">                  </w:t>
      </w:r>
      <w:r>
        <w:rPr>
          <w:color w:val="auto"/>
        </w:rPr>
        <w:t xml:space="preserve">     </w:t>
      </w:r>
      <w:r>
        <w:rPr>
          <w:rFonts w:ascii="宋体" w:hAnsi="宋体"/>
          <w:color w:val="auto"/>
        </w:rPr>
        <w:t>签字人姓名：</w:t>
      </w:r>
      <w:r>
        <w:rPr>
          <w:color w:val="auto"/>
          <w:u w:val="single"/>
        </w:rPr>
        <w:t xml:space="preserve">                 </w:t>
      </w:r>
    </w:p>
    <w:p>
      <w:pPr>
        <w:spacing w:line="360" w:lineRule="auto"/>
        <w:rPr>
          <w:color w:val="auto"/>
        </w:rPr>
      </w:pPr>
      <w:r>
        <w:rPr>
          <w:rFonts w:ascii="宋体" w:hAnsi="宋体"/>
          <w:color w:val="auto"/>
        </w:rPr>
        <w:t>签字人签名：</w:t>
      </w:r>
      <w:r>
        <w:rPr>
          <w:color w:val="auto"/>
          <w:u w:val="single"/>
        </w:rPr>
        <w:t xml:space="preserve">                  </w:t>
      </w:r>
      <w:r>
        <w:rPr>
          <w:color w:val="auto"/>
        </w:rPr>
        <w:t xml:space="preserve">     </w:t>
      </w:r>
      <w:r>
        <w:rPr>
          <w:rFonts w:ascii="宋体" w:hAnsi="宋体"/>
          <w:color w:val="auto"/>
        </w:rPr>
        <w:t>签字人签名：</w:t>
      </w:r>
      <w:r>
        <w:rPr>
          <w:color w:val="auto"/>
          <w:u w:val="single"/>
        </w:rPr>
        <w:t xml:space="preserve">                 </w:t>
      </w:r>
    </w:p>
    <w:p>
      <w:pPr>
        <w:spacing w:line="360" w:lineRule="auto"/>
        <w:rPr>
          <w:color w:val="auto"/>
        </w:rPr>
      </w:pPr>
      <w:r>
        <w:rPr>
          <w:rFonts w:ascii="宋体" w:hAnsi="宋体"/>
          <w:color w:val="auto"/>
        </w:rPr>
        <w:t>贸易公司盖章：</w:t>
      </w:r>
      <w:r>
        <w:rPr>
          <w:color w:val="auto"/>
          <w:u w:val="single"/>
        </w:rPr>
        <w:t xml:space="preserve">                </w:t>
      </w:r>
      <w:r>
        <w:rPr>
          <w:color w:val="auto"/>
        </w:rPr>
        <w:t xml:space="preserve">     </w:t>
      </w:r>
      <w:r>
        <w:rPr>
          <w:rFonts w:ascii="宋体" w:hAnsi="宋体"/>
          <w:color w:val="auto"/>
        </w:rPr>
        <w:t>制造商盖章：</w:t>
      </w:r>
      <w:r>
        <w:rPr>
          <w:color w:val="auto"/>
          <w:u w:val="single"/>
        </w:rPr>
        <w:t xml:space="preserve">                 </w:t>
      </w:r>
    </w:p>
    <w:p>
      <w:pPr>
        <w:spacing w:line="360" w:lineRule="auto"/>
        <w:rPr>
          <w:color w:val="auto"/>
        </w:rPr>
      </w:pPr>
      <w:r>
        <w:rPr>
          <w:color w:val="auto"/>
        </w:rPr>
        <w:t xml:space="preserve"> </w:t>
      </w:r>
    </w:p>
    <w:p>
      <w:pPr>
        <w:rPr>
          <w:rFonts w:hint="eastAsia"/>
          <w:color w:val="auto"/>
        </w:rPr>
      </w:pPr>
    </w:p>
    <w:p>
      <w:pPr>
        <w:rPr>
          <w:rFonts w:hint="eastAsia"/>
          <w:color w:val="auto"/>
        </w:rPr>
      </w:pPr>
      <w:r>
        <w:rPr>
          <w:rFonts w:hint="eastAsia"/>
          <w:color w:val="auto"/>
        </w:rPr>
        <w:br w:type="page"/>
      </w:r>
    </w:p>
    <w:p>
      <w:pPr>
        <w:pStyle w:val="6"/>
        <w:rPr>
          <w:color w:val="auto"/>
        </w:rPr>
      </w:pPr>
      <w:r>
        <w:rPr>
          <w:rFonts w:hint="eastAsia"/>
          <w:color w:val="auto"/>
        </w:rPr>
        <w:t>附件十</w:t>
      </w:r>
      <w:r>
        <w:rPr>
          <w:rFonts w:hint="eastAsia"/>
          <w:color w:val="auto"/>
          <w:lang w:eastAsia="zh-CN"/>
        </w:rPr>
        <w:t>四</w:t>
      </w:r>
      <w:r>
        <w:rPr>
          <w:rFonts w:hint="eastAsia"/>
          <w:color w:val="auto"/>
        </w:rPr>
        <w:t xml:space="preserve"> 培训计划</w:t>
      </w:r>
    </w:p>
    <w:p>
      <w:pPr>
        <w:ind w:firstLine="420"/>
        <w:rPr>
          <w:rFonts w:asciiTheme="minorEastAsia" w:hAnsiTheme="minorEastAsia" w:eastAsiaTheme="minorEastAsia"/>
          <w:color w:val="auto"/>
        </w:rPr>
      </w:pPr>
    </w:p>
    <w:p>
      <w:pPr>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培训计划</w:t>
      </w:r>
    </w:p>
    <w:p>
      <w:pPr>
        <w:ind w:firstLine="0" w:firstLineChars="0"/>
        <w:jc w:val="center"/>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（由投标人根据采购需求自行编制）</w:t>
      </w: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附表：培训日程及费用</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课程名称</w:t>
            </w:r>
          </w:p>
        </w:tc>
        <w:tc>
          <w:tcPr>
            <w:tcW w:w="12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培训资料</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持续时间</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授课教师</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培训对象</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培训地点</w:t>
            </w:r>
          </w:p>
        </w:tc>
        <w:tc>
          <w:tcPr>
            <w:tcW w:w="136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费用总计</w:t>
            </w: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bl>
    <w:p>
      <w:pPr>
        <w:ind w:firstLine="50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注：培训费用包含在投标报价中。</w:t>
      </w:r>
    </w:p>
    <w:p>
      <w:pPr>
        <w:ind w:firstLine="0" w:firstLineChars="0"/>
        <w:rPr>
          <w:rFonts w:cs="宋体" w:asciiTheme="minorEastAsia" w:hAnsiTheme="minorEastAsia" w:eastAsiaTheme="minorEastAsia"/>
          <w:b/>
          <w:color w:val="auto"/>
          <w:spacing w:val="20"/>
          <w:szCs w:val="21"/>
        </w:rPr>
      </w:pP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附件十</w:t>
      </w:r>
      <w:r>
        <w:rPr>
          <w:rFonts w:hint="eastAsia"/>
          <w:color w:val="auto"/>
          <w:lang w:eastAsia="zh-CN"/>
        </w:rPr>
        <w:t>五</w:t>
      </w:r>
      <w:r>
        <w:rPr>
          <w:rFonts w:hint="eastAsia"/>
          <w:color w:val="auto"/>
        </w:rPr>
        <w:t xml:space="preserve">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1"/>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0" w:firstLineChars="0"/>
        <w:jc w:val="center"/>
        <w:rPr>
          <w:rFonts w:cs="宋体" w:asciiTheme="minorEastAsia" w:hAnsiTheme="minorEastAsia" w:eastAsiaTheme="minorEastAsia"/>
          <w:b/>
          <w:color w:val="auto"/>
          <w:spacing w:val="20"/>
          <w:szCs w:val="21"/>
        </w:rPr>
      </w:pP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23" w:name="_Toc14080"/>
      <w:bookmarkStart w:id="124" w:name="_Toc450840090"/>
      <w:r>
        <w:rPr>
          <w:rFonts w:hint="eastAsia" w:cs="宋体" w:asciiTheme="minorEastAsia" w:hAnsiTheme="minorEastAsia" w:eastAsiaTheme="minorEastAsia"/>
          <w:color w:val="auto"/>
          <w:sz w:val="32"/>
          <w:szCs w:val="32"/>
        </w:rPr>
        <w:t>第六章 评标办法</w:t>
      </w:r>
      <w:bookmarkEnd w:id="123"/>
      <w:bookmarkEnd w:id="124"/>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25" w:name="_Toc22527"/>
      <w:bookmarkStart w:id="126" w:name="_Toc2078387"/>
      <w:r>
        <w:rPr>
          <w:rFonts w:hint="eastAsia" w:cs="宋体" w:asciiTheme="minorEastAsia" w:hAnsiTheme="minorEastAsia" w:eastAsiaTheme="minorEastAsia"/>
          <w:color w:val="auto"/>
          <w:szCs w:val="21"/>
        </w:rPr>
        <w:t>1总则</w:t>
      </w:r>
      <w:bookmarkEnd w:id="125"/>
      <w:bookmarkEnd w:id="126"/>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27" w:name="_Toc2078388"/>
      <w:bookmarkStart w:id="128" w:name="_Toc18810"/>
      <w:r>
        <w:rPr>
          <w:rFonts w:hint="eastAsia" w:cs="宋体" w:asciiTheme="minorEastAsia" w:hAnsiTheme="minorEastAsia" w:eastAsiaTheme="minorEastAsia"/>
          <w:color w:val="auto"/>
          <w:szCs w:val="21"/>
        </w:rPr>
        <w:t>2评标组织</w:t>
      </w:r>
      <w:bookmarkEnd w:id="127"/>
      <w:bookmarkEnd w:id="128"/>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29" w:name="_Toc31767"/>
      <w:bookmarkStart w:id="130" w:name="_Toc2078389"/>
      <w:r>
        <w:rPr>
          <w:rFonts w:hint="eastAsia" w:cs="宋体" w:asciiTheme="minorEastAsia" w:hAnsiTheme="minorEastAsia" w:eastAsiaTheme="minorEastAsia"/>
          <w:color w:val="auto"/>
          <w:szCs w:val="21"/>
        </w:rPr>
        <w:t>3评标程序和内容</w:t>
      </w:r>
      <w:bookmarkEnd w:id="129"/>
      <w:bookmarkEnd w:id="130"/>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31" w:name="_Toc457"/>
      <w:bookmarkStart w:id="132" w:name="_Toc2078390"/>
      <w:r>
        <w:rPr>
          <w:rFonts w:hint="eastAsia" w:cs="宋体" w:asciiTheme="minorEastAsia" w:hAnsiTheme="minorEastAsia" w:eastAsiaTheme="minorEastAsia"/>
          <w:color w:val="auto"/>
          <w:szCs w:val="21"/>
        </w:rPr>
        <w:t>4投标文件的审查</w:t>
      </w:r>
      <w:bookmarkEnd w:id="131"/>
      <w:bookmarkEnd w:id="132"/>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（1）未按照招标文件规定要求签署、盖章、装订、密封的；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（2）活页装订（是指用卡条、抽杆夹、订书机等形式装订，使标书可以拆卸或者在翻动过程中易脱落的一种装订方式）的投标文件；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33" w:name="_Hlk8685816"/>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33"/>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34"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34"/>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6</w:t>
      </w:r>
      <w:r>
        <w:rPr>
          <w:rFonts w:hint="eastAsia" w:cs="宋体" w:asciiTheme="minorEastAsia" w:hAnsiTheme="minorEastAsia" w:eastAsiaTheme="minorEastAsia"/>
          <w:b/>
          <w:color w:val="auto"/>
          <w:szCs w:val="21"/>
        </w:rPr>
        <w:t>核心产品</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4</w:t>
      </w:r>
      <w:r>
        <w:rPr>
          <w:rFonts w:cs="宋体" w:asciiTheme="minorEastAsia" w:hAnsiTheme="minorEastAsia" w:eastAsiaTheme="minorEastAsia"/>
          <w:bCs/>
          <w:color w:val="auto"/>
          <w:szCs w:val="21"/>
        </w:rPr>
        <w:t>.6.1</w:t>
      </w:r>
      <w:r>
        <w:rPr>
          <w:rFonts w:hint="eastAsia" w:cs="宋体" w:asciiTheme="minorEastAsia" w:hAnsiTheme="minorEastAsia" w:eastAsiaTheme="minorEastAsia"/>
          <w:bCs/>
          <w:color w:val="auto"/>
          <w:szCs w:val="21"/>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2"/>
        <w:spacing w:after="0" w:line="360" w:lineRule="auto"/>
        <w:ind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4.6.2</w:t>
      </w:r>
      <w:r>
        <w:rPr>
          <w:rFonts w:hint="eastAsia" w:cs="宋体" w:asciiTheme="minorEastAsia" w:hAnsiTheme="minorEastAsia" w:eastAsiaTheme="minorEastAsia"/>
          <w:color w:val="auto"/>
          <w:kern w:val="0"/>
          <w:szCs w:val="21"/>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5"/>
        <w:rPr>
          <w:rFonts w:cs="宋体" w:asciiTheme="minorEastAsia" w:hAnsiTheme="minorEastAsia" w:eastAsiaTheme="minorEastAsia"/>
          <w:color w:val="auto"/>
          <w:szCs w:val="21"/>
        </w:rPr>
      </w:pPr>
      <w:bookmarkStart w:id="135" w:name="_Toc16390"/>
      <w:r>
        <w:rPr>
          <w:rFonts w:hint="eastAsia" w:cs="宋体" w:asciiTheme="minorEastAsia" w:hAnsiTheme="minorEastAsia" w:eastAsiaTheme="minorEastAsia"/>
          <w:color w:val="auto"/>
          <w:szCs w:val="21"/>
        </w:rPr>
        <w:t>5评分细则</w:t>
      </w:r>
      <w:bookmarkEnd w:id="135"/>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5.1投标报价分0-30分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投标报价评分将在有效投标人范围内进行，小数点后保留2位小数。满足招标文件要求且投标价格最低的投标报价为评标基准价，其投标报价分为满分30分。其他投标人的报价分按照下列公式计算：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投标报价分=(评标基准价／投标报价)×30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投标报价得分=(评标基准价／(投标报价*94%))×30。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6</w:t>
      </w:r>
      <w:r>
        <w:rPr>
          <w:rFonts w:hint="eastAsia"/>
          <w:color w:val="auto"/>
        </w:rPr>
        <w:t>分</w:t>
      </w:r>
    </w:p>
    <w:p>
      <w:pPr>
        <w:ind w:firstLine="420"/>
        <w:rPr>
          <w:rFonts w:hint="eastAsia" w:cs="宋体" w:asciiTheme="minorEastAsia" w:hAnsiTheme="minorEastAsia" w:eastAsiaTheme="minorEastAsia"/>
          <w:color w:val="auto"/>
          <w:szCs w:val="21"/>
        </w:rPr>
      </w:pPr>
      <w:bookmarkStart w:id="136"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月以来承接过各级国家机关、事业单位或团体组织脉动真空灭菌器同类项目业绩，每个得1分，最高</w:t>
      </w:r>
      <w:r>
        <w:rPr>
          <w:rFonts w:hint="eastAsia" w:cs="宋体" w:asciiTheme="minorEastAsia" w:hAnsiTheme="minorEastAsia" w:eastAsiaTheme="minorEastAsia"/>
          <w:color w:val="auto"/>
          <w:szCs w:val="21"/>
          <w:lang w:eastAsia="zh-CN"/>
        </w:rPr>
        <w:t>得</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分</w:t>
      </w:r>
      <w:r>
        <w:rPr>
          <w:rFonts w:hint="eastAsia" w:cs="宋体" w:asciiTheme="minorEastAsia" w:hAnsiTheme="minorEastAsia" w:eastAsiaTheme="minorEastAsia"/>
          <w:color w:val="auto"/>
          <w:szCs w:val="21"/>
          <w:lang w:eastAsia="zh-CN"/>
        </w:rPr>
        <w:t>；快速清洗消毒机</w:t>
      </w:r>
      <w:r>
        <w:rPr>
          <w:rFonts w:hint="eastAsia" w:cs="宋体" w:asciiTheme="minorEastAsia" w:hAnsiTheme="minorEastAsia" w:eastAsiaTheme="minorEastAsia"/>
          <w:color w:val="auto"/>
          <w:szCs w:val="21"/>
        </w:rPr>
        <w:t>同类项目业绩，每个得1分，最高</w:t>
      </w:r>
      <w:r>
        <w:rPr>
          <w:rFonts w:hint="eastAsia" w:cs="宋体" w:asciiTheme="minorEastAsia" w:hAnsiTheme="minorEastAsia" w:eastAsiaTheme="minorEastAsia"/>
          <w:color w:val="auto"/>
          <w:szCs w:val="21"/>
          <w:lang w:eastAsia="zh-CN"/>
        </w:rPr>
        <w:t>得</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bookmarkEnd w:id="136"/>
    <w:p>
      <w:pPr>
        <w:pStyle w:val="6"/>
        <w:rPr>
          <w:color w:val="auto"/>
        </w:rPr>
      </w:pPr>
      <w:r>
        <w:rPr>
          <w:rFonts w:hint="eastAsia"/>
          <w:color w:val="auto"/>
        </w:rPr>
        <w:t>5.3技术评分</w:t>
      </w:r>
      <w:r>
        <w:rPr>
          <w:rFonts w:hint="eastAsia"/>
          <w:color w:val="auto"/>
          <w:lang w:val="en-US" w:eastAsia="zh-CN"/>
        </w:rPr>
        <w:t>4</w:t>
      </w:r>
      <w:r>
        <w:rPr>
          <w:rFonts w:hint="eastAsia"/>
          <w:color w:val="auto"/>
        </w:rPr>
        <w:t>-6</w:t>
      </w:r>
      <w:r>
        <w:rPr>
          <w:rFonts w:hint="eastAsia"/>
          <w:color w:val="auto"/>
          <w:lang w:val="en-US" w:eastAsia="zh-CN"/>
        </w:rPr>
        <w:t>4</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tbl>
      <w:tblPr>
        <w:tblStyle w:val="2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序号</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评分项目</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所投产品配置</w:t>
            </w:r>
            <w:r>
              <w:rPr>
                <w:rFonts w:hint="eastAsia" w:cs="宋体" w:asciiTheme="minorEastAsia" w:hAnsiTheme="minorEastAsia" w:eastAsiaTheme="minorEastAsia"/>
                <w:color w:val="auto"/>
                <w:szCs w:val="21"/>
                <w:lang w:eastAsia="zh-CN"/>
              </w:rPr>
              <w:t>和性能</w:t>
            </w:r>
            <w:r>
              <w:rPr>
                <w:rFonts w:hint="eastAsia" w:cs="宋体" w:asciiTheme="minorEastAsia" w:hAnsiTheme="minorEastAsia" w:eastAsiaTheme="minorEastAsia"/>
                <w:color w:val="auto"/>
                <w:szCs w:val="21"/>
              </w:rPr>
              <w:t>总体满足需求的情况：</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完全满足采购需求：7-8分；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基本满足采购需求：5-</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部分满足采购需求：</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-4分。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重要技术功能偏离：对应于招标文件中</w:t>
            </w:r>
            <w:r>
              <w:rPr>
                <w:rFonts w:hint="eastAsia" w:cs="宋体" w:asciiTheme="minorEastAsia" w:hAnsiTheme="minorEastAsia" w:eastAsiaTheme="minorEastAsia"/>
                <w:color w:val="auto"/>
                <w:szCs w:val="21"/>
              </w:rPr>
              <w:t>各仪器设备的具体要求</w:t>
            </w:r>
            <w:r>
              <w:rPr>
                <w:rFonts w:hint="eastAsia" w:cs="宋体" w:asciiTheme="minorEastAsia" w:hAnsiTheme="minorEastAsia" w:eastAsiaTheme="minorEastAsia"/>
                <w:color w:val="auto"/>
                <w:kern w:val="0"/>
                <w:szCs w:val="21"/>
              </w:rPr>
              <w:t>中</w:t>
            </w:r>
            <w:r>
              <w:rPr>
                <w:rFonts w:hint="eastAsia" w:cs="宋体" w:asciiTheme="minorEastAsia" w:hAnsiTheme="minorEastAsia" w:eastAsiaTheme="minorEastAsia"/>
                <w:color w:val="auto"/>
                <w:szCs w:val="21"/>
              </w:rPr>
              <w:t>打▲号</w:t>
            </w:r>
            <w:r>
              <w:rPr>
                <w:rFonts w:hint="eastAsia" w:cs="宋体" w:asciiTheme="minorEastAsia" w:hAnsiTheme="minorEastAsia" w:eastAsiaTheme="minorEastAsia"/>
                <w:color w:val="auto"/>
                <w:kern w:val="0"/>
                <w:szCs w:val="21"/>
              </w:rPr>
              <w:t>的偏离度，每一项</w:t>
            </w:r>
            <w:r>
              <w:rPr>
                <w:rFonts w:hint="eastAsia" w:cs="宋体" w:asciiTheme="minorEastAsia" w:hAnsiTheme="minorEastAsia" w:eastAsiaTheme="minorEastAsia"/>
                <w:color w:val="auto"/>
                <w:kern w:val="0"/>
                <w:szCs w:val="21"/>
                <w:lang w:eastAsia="zh-CN"/>
              </w:rPr>
              <w:t>负</w:t>
            </w:r>
            <w:r>
              <w:rPr>
                <w:rFonts w:hint="eastAsia" w:cs="宋体" w:asciiTheme="minorEastAsia" w:hAnsiTheme="minorEastAsia" w:eastAsiaTheme="minorEastAsia"/>
                <w:color w:val="auto"/>
                <w:kern w:val="0"/>
                <w:szCs w:val="21"/>
              </w:rPr>
              <w:t>偏离扣</w:t>
            </w:r>
            <w:r>
              <w:rPr>
                <w:rFonts w:hint="eastAsia" w:cs="宋体" w:asciiTheme="minorEastAsia" w:hAnsiTheme="minorEastAsia" w:eastAsiaTheme="minorEastAsia"/>
                <w:color w:val="auto"/>
                <w:kern w:val="0"/>
                <w:szCs w:val="21"/>
                <w:lang w:val="en-US" w:eastAsia="zh-CN"/>
              </w:rPr>
              <w:t>3</w:t>
            </w:r>
            <w:r>
              <w:rPr>
                <w:rFonts w:hint="eastAsia" w:cs="宋体" w:asciiTheme="minorEastAsia" w:hAnsiTheme="minorEastAsia" w:eastAsiaTheme="minorEastAsia"/>
                <w:color w:val="auto"/>
                <w:kern w:val="0"/>
                <w:szCs w:val="21"/>
              </w:rPr>
              <w:t>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其它技术功能</w:t>
            </w:r>
            <w:r>
              <w:rPr>
                <w:rFonts w:hint="eastAsia" w:cs="宋体" w:asciiTheme="minorEastAsia" w:hAnsiTheme="minorEastAsia" w:eastAsiaTheme="minorEastAsia"/>
                <w:color w:val="auto"/>
                <w:kern w:val="0"/>
                <w:szCs w:val="21"/>
                <w:lang w:eastAsia="zh-CN"/>
              </w:rPr>
              <w:t>商务</w:t>
            </w:r>
            <w:r>
              <w:rPr>
                <w:rFonts w:hint="eastAsia" w:cs="宋体" w:asciiTheme="minorEastAsia" w:hAnsiTheme="minorEastAsia" w:eastAsiaTheme="minorEastAsia"/>
                <w:color w:val="auto"/>
                <w:kern w:val="0"/>
                <w:szCs w:val="21"/>
              </w:rPr>
              <w:t>偏离：对应于招标文件中</w:t>
            </w:r>
            <w:r>
              <w:rPr>
                <w:rFonts w:hint="eastAsia" w:cs="宋体" w:asciiTheme="minorEastAsia" w:hAnsiTheme="minorEastAsia" w:eastAsiaTheme="minorEastAsia"/>
                <w:color w:val="auto"/>
                <w:szCs w:val="21"/>
              </w:rPr>
              <w:t>各仪器设备的具体要求（除去打▲号的）</w:t>
            </w:r>
            <w:r>
              <w:rPr>
                <w:rFonts w:hint="eastAsia" w:cs="宋体" w:asciiTheme="minorEastAsia" w:hAnsiTheme="minorEastAsia" w:eastAsiaTheme="minorEastAsia"/>
                <w:color w:val="auto"/>
                <w:kern w:val="0"/>
                <w:szCs w:val="21"/>
              </w:rPr>
              <w:t>的偏离度，每一项</w:t>
            </w:r>
            <w:r>
              <w:rPr>
                <w:rFonts w:hint="eastAsia" w:cs="宋体" w:asciiTheme="minorEastAsia" w:hAnsiTheme="minorEastAsia" w:eastAsiaTheme="minorEastAsia"/>
                <w:color w:val="auto"/>
                <w:kern w:val="0"/>
                <w:szCs w:val="21"/>
                <w:lang w:eastAsia="zh-CN"/>
              </w:rPr>
              <w:t>负</w:t>
            </w:r>
            <w:r>
              <w:rPr>
                <w:rFonts w:hint="eastAsia" w:cs="宋体" w:asciiTheme="minorEastAsia" w:hAnsiTheme="minorEastAsia" w:eastAsiaTheme="minorEastAsia"/>
                <w:color w:val="auto"/>
                <w:kern w:val="0"/>
                <w:szCs w:val="21"/>
              </w:rPr>
              <w:t>偏离扣1分，扣完为止。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4"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4</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投入本项目的安装调试人员的</w:t>
            </w:r>
            <w:r>
              <w:rPr>
                <w:rFonts w:hint="eastAsia" w:ascii="宋体" w:hAnsi="宋体" w:eastAsia="宋体" w:cs="宋体"/>
                <w:color w:val="auto"/>
                <w:kern w:val="0"/>
                <w:sz w:val="21"/>
                <w:szCs w:val="21"/>
                <w:highlight w:val="none"/>
              </w:rPr>
              <w:t>人数、相关专业经验、学历、相应职称证书等满足采购要求情况综合评价（需提供职称证以及近期不少于3个月的社保证明）。</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学历</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宋体" w:hAnsi="宋体" w:eastAsia="宋体" w:cs="宋体"/>
                <w:color w:val="auto"/>
                <w:kern w:val="0"/>
                <w:sz w:val="21"/>
                <w:szCs w:val="21"/>
                <w:highlight w:val="none"/>
              </w:rPr>
              <w:t>相关专业经验</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eastAsia="宋体" w:cs="宋体"/>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5</w:t>
            </w:r>
          </w:p>
        </w:tc>
        <w:tc>
          <w:tcPr>
            <w:tcW w:w="6663" w:type="dxa"/>
            <w:vAlign w:val="center"/>
          </w:tcPr>
          <w:p>
            <w:pPr>
              <w:pStyle w:val="58"/>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xml:space="preserve">根据投标人提供的售后服务方案、售后服务承诺、服务响应时间的可行性、完整性以及服务承诺落实的保障措施等方面综合评价： </w:t>
            </w:r>
          </w:p>
          <w:p>
            <w:pPr>
              <w:pStyle w:val="58"/>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售后方案全面完整，响应及时，可行性强得5-6分；</w:t>
            </w:r>
          </w:p>
          <w:p>
            <w:pPr>
              <w:pStyle w:val="58"/>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售后方案基本涵盖，响应时间一般，基本可行得3-4分；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rPr>
              <w:t>售后方案简单略，响应不够及时，可行性差得1-2分。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6</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耗材优惠措施：每优惠（下浮）10%得1分，最高3分。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7</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contextualSpacing/>
              <w:textAlignment w:val="auto"/>
              <w:rPr>
                <w:rFonts w:hint="eastAsia" w:cs="宋体" w:asciiTheme="minorEastAsia" w:hAnsiTheme="minorEastAsia" w:eastAsiaTheme="minorEastAsia"/>
                <w:color w:val="auto"/>
                <w:szCs w:val="21"/>
              </w:rPr>
            </w:pPr>
            <w:r>
              <w:rPr>
                <w:rFonts w:hint="eastAsia" w:ascii="宋体" w:hAnsi="宋体" w:eastAsia="宋体" w:cs="宋体"/>
                <w:color w:val="auto"/>
                <w:szCs w:val="21"/>
                <w:lang w:eastAsia="zh-CN"/>
              </w:rPr>
              <w:t>备品备件提供情况综合评价。</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hint="eastAsia" w:cs="宋体" w:asciiTheme="minorEastAsia" w:hAnsiTheme="minorEastAsia" w:eastAsiaTheme="minorEastAsia"/>
                <w:color w:val="auto"/>
                <w:szCs w:val="21"/>
              </w:rPr>
            </w:pPr>
            <w:r>
              <w:rPr>
                <w:rFonts w:hint="eastAsia" w:ascii="宋体" w:hAnsi="宋体" w:eastAsia="宋体" w:cs="宋体"/>
                <w:color w:val="auto"/>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8</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质保期：</w:t>
            </w:r>
            <w:r>
              <w:rPr>
                <w:rFonts w:hint="eastAsia" w:cs="宋体" w:asciiTheme="minorEastAsia" w:hAnsiTheme="minorEastAsia" w:eastAsiaTheme="minorEastAsia"/>
                <w:color w:val="auto"/>
                <w:szCs w:val="21"/>
                <w:lang w:eastAsia="zh-CN"/>
              </w:rPr>
              <w:t>所有设备</w:t>
            </w:r>
            <w:r>
              <w:rPr>
                <w:rFonts w:hint="eastAsia" w:cs="宋体" w:asciiTheme="minorEastAsia" w:hAnsiTheme="minorEastAsia" w:eastAsiaTheme="minorEastAsia"/>
                <w:color w:val="auto"/>
                <w:szCs w:val="21"/>
              </w:rPr>
              <w:t>每延长</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年得</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分，最多得</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9</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技术培训：是否为采购人免费进行技术培训的服务，包括培训内容、培训人数、培训时间、培训地点</w:t>
            </w:r>
            <w:r>
              <w:rPr>
                <w:rFonts w:hint="eastAsia" w:cs="宋体" w:asciiTheme="minorEastAsia" w:hAnsiTheme="minorEastAsia" w:eastAsiaTheme="minorEastAsia"/>
                <w:color w:val="auto"/>
                <w:kern w:val="0"/>
                <w:szCs w:val="21"/>
              </w:rPr>
              <w:t>综合评价</w:t>
            </w:r>
            <w:r>
              <w:rPr>
                <w:rFonts w:hint="eastAsia" w:cs="宋体"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培训内容：0-</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培训次数：0-</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培训规模：0-1分。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0</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节能产品：</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shd w:val="clear" w:color="auto" w:fill="FFFFFF"/>
              </w:rPr>
              <w:t>提供投标产品主体</w:t>
            </w: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认证证书的（有效期内），得</w:t>
            </w:r>
            <w:r>
              <w:rPr>
                <w:rFonts w:hint="eastAsia" w:cs="宋体" w:asciiTheme="minorEastAsia" w:hAnsiTheme="minorEastAsia" w:eastAsiaTheme="minorEastAsia"/>
                <w:color w:val="auto"/>
                <w:spacing w:val="8"/>
                <w:szCs w:val="21"/>
                <w:shd w:val="clear" w:color="auto" w:fill="FFFFFF"/>
                <w:lang w:val="en-US" w:eastAsia="zh-CN"/>
              </w:rPr>
              <w:t>0.5</w:t>
            </w:r>
            <w:r>
              <w:rPr>
                <w:rFonts w:hint="eastAsia" w:cs="宋体" w:asciiTheme="minorEastAsia" w:hAnsiTheme="minorEastAsia" w:eastAsiaTheme="minorEastAsia"/>
                <w:color w:val="auto"/>
                <w:spacing w:val="8"/>
                <w:szCs w:val="21"/>
                <w:shd w:val="clear" w:color="auto" w:fill="FFFFFF"/>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8"/>
                <w:szCs w:val="21"/>
                <w:shd w:val="clear" w:color="auto" w:fill="FFFFFF"/>
              </w:rPr>
              <w:t>提供投标产品主体节能产品认证证书的（有效期内），得</w:t>
            </w:r>
            <w:r>
              <w:rPr>
                <w:rFonts w:hint="eastAsia" w:cs="宋体" w:asciiTheme="minorEastAsia" w:hAnsiTheme="minorEastAsia" w:eastAsiaTheme="minorEastAsia"/>
                <w:color w:val="auto"/>
                <w:spacing w:val="8"/>
                <w:szCs w:val="21"/>
                <w:shd w:val="clear" w:color="auto" w:fill="FFFFFF"/>
                <w:lang w:val="en-US" w:eastAsia="zh-CN"/>
              </w:rPr>
              <w:t>0.5</w:t>
            </w:r>
            <w:r>
              <w:rPr>
                <w:rFonts w:hint="eastAsia" w:cs="宋体" w:asciiTheme="minorEastAsia" w:hAnsiTheme="minorEastAsia" w:eastAsiaTheme="minorEastAsia"/>
                <w:color w:val="auto"/>
                <w:spacing w:val="8"/>
                <w:szCs w:val="21"/>
                <w:shd w:val="clear" w:color="auto" w:fill="FFFFFF"/>
              </w:rPr>
              <w:t>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1</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投标文件质量：内容详实、编制有序、书面整洁、装订整齐等。</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0-1分</w:t>
            </w:r>
          </w:p>
        </w:tc>
      </w:tr>
      <w:bookmarkEnd w:id="35"/>
      <w:bookmarkEnd w:id="36"/>
      <w:bookmarkEnd w:id="37"/>
      <w:bookmarkEnd w:id="38"/>
      <w:bookmarkEnd w:id="39"/>
      <w:bookmarkEnd w:id="40"/>
      <w:bookmarkEnd w:id="41"/>
      <w:bookmarkEnd w:id="42"/>
    </w:tbl>
    <w:p>
      <w:pPr>
        <w:pStyle w:val="5"/>
        <w:rPr>
          <w:rFonts w:hint="eastAsia" w:cs="宋体" w:asciiTheme="minorEastAsia" w:hAnsiTheme="minorEastAsia" w:eastAsiaTheme="minorEastAsia"/>
          <w:color w:val="auto"/>
          <w:szCs w:val="21"/>
        </w:rPr>
      </w:pPr>
      <w:bookmarkStart w:id="137" w:name="_Hlk8251304"/>
    </w:p>
    <w:p>
      <w:pPr>
        <w:pStyle w:val="5"/>
        <w:rPr>
          <w:rFonts w:cs="宋体" w:asciiTheme="minorEastAsia" w:hAnsiTheme="minorEastAsia" w:eastAsiaTheme="minorEastAsia"/>
          <w:color w:val="auto"/>
          <w:szCs w:val="21"/>
        </w:rPr>
      </w:pPr>
      <w:bookmarkStart w:id="138" w:name="_Toc24449"/>
      <w:r>
        <w:rPr>
          <w:rFonts w:hint="eastAsia" w:cs="宋体" w:asciiTheme="minorEastAsia" w:hAnsiTheme="minorEastAsia" w:eastAsiaTheme="minorEastAsia"/>
          <w:color w:val="auto"/>
          <w:szCs w:val="21"/>
        </w:rPr>
        <w:t>6.评标报告</w:t>
      </w:r>
      <w:bookmarkEnd w:id="138"/>
    </w:p>
    <w:p>
      <w:pPr>
        <w:ind w:firstLine="420"/>
        <w:rPr>
          <w:rFonts w:cs="宋体" w:asciiTheme="minorEastAsia" w:hAnsiTheme="minorEastAsia" w:eastAsiaTheme="minorEastAsia"/>
          <w:color w:val="auto"/>
          <w:szCs w:val="21"/>
        </w:rPr>
      </w:pPr>
      <w:bookmarkStart w:id="139"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37"/>
    <w:bookmarkEnd w:id="139"/>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4"/>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7013C"/>
    <w:rsid w:val="01C63E28"/>
    <w:rsid w:val="01D9066B"/>
    <w:rsid w:val="02D06EE0"/>
    <w:rsid w:val="039B00BF"/>
    <w:rsid w:val="05EE781B"/>
    <w:rsid w:val="070A0EB9"/>
    <w:rsid w:val="08D240F1"/>
    <w:rsid w:val="09F62057"/>
    <w:rsid w:val="0C564EEA"/>
    <w:rsid w:val="0DD40D4D"/>
    <w:rsid w:val="101B5BF5"/>
    <w:rsid w:val="103B25D8"/>
    <w:rsid w:val="14C0655A"/>
    <w:rsid w:val="17601D63"/>
    <w:rsid w:val="177962C9"/>
    <w:rsid w:val="1CE26A0C"/>
    <w:rsid w:val="1ED33930"/>
    <w:rsid w:val="24705212"/>
    <w:rsid w:val="24D0263B"/>
    <w:rsid w:val="255F41B1"/>
    <w:rsid w:val="2801442E"/>
    <w:rsid w:val="2CBE1145"/>
    <w:rsid w:val="2FC75FC3"/>
    <w:rsid w:val="35912DD9"/>
    <w:rsid w:val="35BB40F8"/>
    <w:rsid w:val="396B014E"/>
    <w:rsid w:val="39850569"/>
    <w:rsid w:val="3BCC494D"/>
    <w:rsid w:val="3C302631"/>
    <w:rsid w:val="3D2F5FD2"/>
    <w:rsid w:val="3ED52588"/>
    <w:rsid w:val="4583323C"/>
    <w:rsid w:val="497032C8"/>
    <w:rsid w:val="4C561D43"/>
    <w:rsid w:val="4CF86DA2"/>
    <w:rsid w:val="4D7A0BEA"/>
    <w:rsid w:val="4DB04103"/>
    <w:rsid w:val="4DB676B1"/>
    <w:rsid w:val="4E5F49ED"/>
    <w:rsid w:val="4F312E90"/>
    <w:rsid w:val="4F5E2DBF"/>
    <w:rsid w:val="530B5C31"/>
    <w:rsid w:val="547A3A6D"/>
    <w:rsid w:val="567A4624"/>
    <w:rsid w:val="578F77E3"/>
    <w:rsid w:val="5F14053C"/>
    <w:rsid w:val="673A33DB"/>
    <w:rsid w:val="6A7C4E86"/>
    <w:rsid w:val="6AE573B5"/>
    <w:rsid w:val="6B1D0CE3"/>
    <w:rsid w:val="6D2B0CF8"/>
    <w:rsid w:val="6FBE1B35"/>
    <w:rsid w:val="6FD52392"/>
    <w:rsid w:val="72725B3E"/>
    <w:rsid w:val="74D10961"/>
    <w:rsid w:val="75905A92"/>
    <w:rsid w:val="773F7B30"/>
    <w:rsid w:val="793A527B"/>
    <w:rsid w:val="7C1B4CDD"/>
    <w:rsid w:val="7D216CEA"/>
    <w:rsid w:val="7E03289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3">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Normal Indent"/>
    <w:basedOn w:val="1"/>
    <w:qFormat/>
    <w:locked/>
    <w:uiPriority w:val="0"/>
    <w:pPr>
      <w:ind w:firstLine="420"/>
    </w:pPr>
    <w:rPr>
      <w:sz w:val="30"/>
      <w:szCs w:val="30"/>
    </w:rPr>
  </w:style>
  <w:style w:type="paragraph" w:styleId="9">
    <w:name w:val="Document Map"/>
    <w:basedOn w:val="1"/>
    <w:link w:val="40"/>
    <w:semiHidden/>
    <w:qFormat/>
    <w:uiPriority w:val="99"/>
    <w:pPr>
      <w:shd w:val="clear" w:color="auto" w:fill="000080"/>
    </w:pPr>
  </w:style>
  <w:style w:type="paragraph" w:styleId="10">
    <w:name w:val="annotation text"/>
    <w:basedOn w:val="1"/>
    <w:link w:val="32"/>
    <w:qFormat/>
    <w:uiPriority w:val="0"/>
    <w:pPr>
      <w:spacing w:line="240" w:lineRule="auto"/>
      <w:ind w:firstLine="0" w:firstLineChars="0"/>
      <w:jc w:val="left"/>
    </w:pPr>
  </w:style>
  <w:style w:type="paragraph" w:styleId="11">
    <w:name w:val="Body Text Indent"/>
    <w:basedOn w:val="1"/>
    <w:link w:val="42"/>
    <w:unhideWhenUsed/>
    <w:qFormat/>
    <w:locked/>
    <w:uiPriority w:val="0"/>
    <w:pPr>
      <w:spacing w:after="120"/>
      <w:ind w:left="420" w:leftChars="200"/>
    </w:pPr>
  </w:style>
  <w:style w:type="paragraph" w:styleId="12">
    <w:name w:val="Plain Text"/>
    <w:basedOn w:val="1"/>
    <w:link w:val="33"/>
    <w:qFormat/>
    <w:uiPriority w:val="0"/>
    <w:pPr>
      <w:spacing w:line="240" w:lineRule="auto"/>
      <w:ind w:firstLine="0" w:firstLineChars="0"/>
    </w:pPr>
    <w:rPr>
      <w:rFonts w:ascii="宋体" w:hAnsi="Courier New"/>
      <w:szCs w:val="20"/>
    </w:rPr>
  </w:style>
  <w:style w:type="paragraph" w:styleId="13">
    <w:name w:val="Balloon Text"/>
    <w:basedOn w:val="1"/>
    <w:link w:val="39"/>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qFormat/>
    <w:uiPriority w:val="39"/>
    <w:pPr>
      <w:tabs>
        <w:tab w:val="right" w:leader="dot" w:pos="8296"/>
      </w:tabs>
      <w:ind w:firstLine="0" w:firstLineChars="0"/>
    </w:pPr>
  </w:style>
  <w:style w:type="paragraph" w:styleId="17">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8">
    <w:name w:val="toc 2"/>
    <w:basedOn w:val="1"/>
    <w:next w:val="1"/>
    <w:qFormat/>
    <w:uiPriority w:val="39"/>
    <w:pPr>
      <w:tabs>
        <w:tab w:val="right" w:leader="dot" w:pos="8296"/>
      </w:tabs>
      <w:ind w:left="420" w:leftChars="200" w:firstLine="0" w:firstLineChars="0"/>
    </w:pPr>
  </w:style>
  <w:style w:type="paragraph" w:styleId="19">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paragraph" w:styleId="20">
    <w:name w:val="annotation subject"/>
    <w:basedOn w:val="10"/>
    <w:next w:val="10"/>
    <w:link w:val="45"/>
    <w:qFormat/>
    <w:locked/>
    <w:uiPriority w:val="0"/>
    <w:rPr>
      <w:rFonts w:asciiTheme="minorHAnsi" w:hAnsiTheme="minorHAnsi" w:eastAsiaTheme="minorEastAsia" w:cstheme="minorBidi"/>
      <w:b/>
      <w:bCs/>
    </w:rPr>
  </w:style>
  <w:style w:type="table" w:styleId="22">
    <w:name w:val="Table Grid"/>
    <w:basedOn w:val="2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qFormat/>
    <w:locked/>
    <w:uiPriority w:val="0"/>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0"/>
    <w:rPr>
      <w:rFonts w:cs="Times New Roman"/>
      <w:sz w:val="21"/>
    </w:rPr>
  </w:style>
  <w:style w:type="character" w:customStyle="1" w:styleId="28">
    <w:name w:val="标题 1 Char"/>
    <w:basedOn w:val="23"/>
    <w:link w:val="4"/>
    <w:qFormat/>
    <w:locked/>
    <w:uiPriority w:val="0"/>
    <w:rPr>
      <w:rFonts w:cs="Times New Roman"/>
      <w:b/>
      <w:kern w:val="44"/>
      <w:sz w:val="44"/>
    </w:rPr>
  </w:style>
  <w:style w:type="character" w:customStyle="1" w:styleId="29">
    <w:name w:val="标题 2 Char"/>
    <w:basedOn w:val="23"/>
    <w:link w:val="5"/>
    <w:qFormat/>
    <w:locked/>
    <w:uiPriority w:val="0"/>
    <w:rPr>
      <w:rFonts w:ascii="Cambria" w:hAnsi="Cambria" w:eastAsia="宋体" w:cs="Times New Roman"/>
      <w:b/>
      <w:bCs/>
      <w:sz w:val="32"/>
      <w:szCs w:val="32"/>
    </w:rPr>
  </w:style>
  <w:style w:type="character" w:customStyle="1" w:styleId="30">
    <w:name w:val="标题 3 Char"/>
    <w:basedOn w:val="23"/>
    <w:link w:val="6"/>
    <w:qFormat/>
    <w:locked/>
    <w:uiPriority w:val="0"/>
    <w:rPr>
      <w:rFonts w:cs="宋体" w:asciiTheme="minorEastAsia" w:hAnsiTheme="minorEastAsia" w:eastAsiaTheme="minorEastAsia"/>
      <w:b/>
      <w:sz w:val="21"/>
      <w:szCs w:val="32"/>
    </w:rPr>
  </w:style>
  <w:style w:type="character" w:customStyle="1" w:styleId="31">
    <w:name w:val="标题 4 Char"/>
    <w:basedOn w:val="23"/>
    <w:link w:val="7"/>
    <w:semiHidden/>
    <w:qFormat/>
    <w:locked/>
    <w:uiPriority w:val="99"/>
    <w:rPr>
      <w:rFonts w:ascii="Cambria" w:hAnsi="Cambria" w:eastAsia="宋体" w:cs="Times New Roman"/>
      <w:b/>
      <w:bCs/>
      <w:sz w:val="28"/>
      <w:szCs w:val="28"/>
    </w:rPr>
  </w:style>
  <w:style w:type="character" w:customStyle="1" w:styleId="32">
    <w:name w:val="批注文字 Char"/>
    <w:basedOn w:val="23"/>
    <w:link w:val="10"/>
    <w:qFormat/>
    <w:locked/>
    <w:uiPriority w:val="0"/>
    <w:rPr>
      <w:rFonts w:ascii="Times New Roman" w:hAnsi="Times New Roman" w:cs="Times New Roman"/>
      <w:sz w:val="24"/>
      <w:szCs w:val="24"/>
    </w:rPr>
  </w:style>
  <w:style w:type="character" w:customStyle="1" w:styleId="33">
    <w:name w:val="纯文本 Char"/>
    <w:basedOn w:val="23"/>
    <w:link w:val="12"/>
    <w:qFormat/>
    <w:locked/>
    <w:uiPriority w:val="0"/>
    <w:rPr>
      <w:rFonts w:ascii="宋体" w:hAnsi="Courier New" w:cs="Courier New"/>
      <w:sz w:val="21"/>
      <w:szCs w:val="21"/>
    </w:rPr>
  </w:style>
  <w:style w:type="character" w:customStyle="1" w:styleId="34">
    <w:name w:val="页脚 Char"/>
    <w:basedOn w:val="23"/>
    <w:link w:val="14"/>
    <w:qFormat/>
    <w:locked/>
    <w:uiPriority w:val="99"/>
    <w:rPr>
      <w:rFonts w:ascii="Times New Roman" w:hAnsi="Times New Roman" w:cs="Times New Roman"/>
      <w:sz w:val="18"/>
      <w:szCs w:val="18"/>
    </w:rPr>
  </w:style>
  <w:style w:type="character" w:customStyle="1" w:styleId="35">
    <w:name w:val="页眉 Char"/>
    <w:basedOn w:val="23"/>
    <w:link w:val="15"/>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customStyle="1"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3"/>
    <w:link w:val="13"/>
    <w:qFormat/>
    <w:locked/>
    <w:uiPriority w:val="0"/>
    <w:rPr>
      <w:rFonts w:ascii="Times New Roman" w:hAnsi="Times New Roman" w:cs="Times New Roman"/>
      <w:sz w:val="2"/>
    </w:rPr>
  </w:style>
  <w:style w:type="character" w:customStyle="1" w:styleId="40">
    <w:name w:val="文档结构图 Char"/>
    <w:basedOn w:val="23"/>
    <w:link w:val="9"/>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3"/>
    <w:link w:val="11"/>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7"/>
    <w:qFormat/>
    <w:uiPriority w:val="0"/>
    <w:rPr>
      <w:rFonts w:ascii="等线 Light" w:hAnsi="等线 Light" w:cs="Times New Roman"/>
      <w:b/>
      <w:bCs/>
      <w:kern w:val="28"/>
      <w:sz w:val="32"/>
      <w:szCs w:val="32"/>
    </w:rPr>
  </w:style>
  <w:style w:type="character" w:customStyle="1" w:styleId="45">
    <w:name w:val="批注主题 Char"/>
    <w:link w:val="20"/>
    <w:qFormat/>
    <w:uiPriority w:val="0"/>
    <w:rPr>
      <w:b/>
      <w:bCs/>
      <w:kern w:val="2"/>
      <w:sz w:val="21"/>
      <w:szCs w:val="24"/>
    </w:rPr>
  </w:style>
  <w:style w:type="character" w:customStyle="1" w:styleId="46">
    <w:name w:val="HTML 预设格式 Char"/>
    <w:link w:val="19"/>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3"/>
    <w:qFormat/>
    <w:uiPriority w:val="11"/>
    <w:rPr>
      <w:b/>
      <w:bCs/>
      <w:kern w:val="28"/>
      <w:sz w:val="32"/>
      <w:szCs w:val="32"/>
    </w:rPr>
  </w:style>
  <w:style w:type="character" w:customStyle="1" w:styleId="49">
    <w:name w:val="HTML 预设格式 字符1"/>
    <w:basedOn w:val="23"/>
    <w:semiHidden/>
    <w:qFormat/>
    <w:uiPriority w:val="99"/>
    <w:rPr>
      <w:rFonts w:ascii="Courier New" w:hAnsi="Courier New" w:eastAsia="宋体" w:cs="Courier New"/>
      <w:kern w:val="2"/>
    </w:rPr>
  </w:style>
  <w:style w:type="paragraph" w:customStyle="1"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3"/>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font01"/>
    <w:basedOn w:val="23"/>
    <w:qFormat/>
    <w:uiPriority w:val="0"/>
    <w:rPr>
      <w:rFonts w:hint="eastAsia" w:ascii="宋体" w:hAnsi="宋体" w:eastAsia="宋体" w:cs="宋体"/>
      <w:color w:val="000000"/>
      <w:sz w:val="22"/>
      <w:szCs w:val="22"/>
      <w:u w:val="none"/>
    </w:rPr>
  </w:style>
  <w:style w:type="paragraph" w:customStyle="1" w:styleId="60">
    <w:name w:val="AbsatzTableFormat"/>
    <w:basedOn w:val="1"/>
    <w:qFormat/>
    <w:uiPriority w:val="0"/>
    <w:pPr>
      <w:widowControl/>
      <w:jc w:val="left"/>
    </w:pPr>
    <w:rPr>
      <w:rFonts w:ascii="Arial Narrow" w:hAnsi="Arial Narrow"/>
      <w:bCs/>
      <w:kern w:val="0"/>
      <w:sz w:val="22"/>
      <w:szCs w:val="21"/>
      <w:lang w:val="de-DE"/>
    </w:rPr>
  </w:style>
  <w:style w:type="character" w:customStyle="1" w:styleId="61">
    <w:name w:val="Anrede1IhrZeichen"/>
    <w:qFormat/>
    <w:uiPriority w:val="0"/>
    <w:rPr>
      <w:rFonts w:hint="default"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0</TotalTime>
  <ScaleCrop>false</ScaleCrop>
  <LinksUpToDate>false</LinksUpToDate>
  <CharactersWithSpaces>39034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2019-05-12T23:09:00Z</dcterms:created>
  <dc:creator>Administrator</dc:creator>
  <cp:lastModifiedBy>xiahaiyan</cp:lastModifiedBy>
  <cp:lastPrinted>2019-08-02T16:52:00Z</cp:lastPrinted>
  <dcterms:modified xsi:type="dcterms:W3CDTF">2019-08-15T00:45:06Z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