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7E793">
      <w:pPr>
        <w:spacing w:line="360" w:lineRule="auto"/>
        <w:jc w:val="center"/>
        <w:rPr>
          <w:rFonts w:ascii="宋体" w:hAnsi="宋体" w:cs="宋体"/>
          <w:b/>
          <w:sz w:val="24"/>
        </w:rPr>
      </w:pPr>
    </w:p>
    <w:p w14:paraId="2FD89CD2">
      <w:pPr>
        <w:spacing w:line="360" w:lineRule="auto"/>
        <w:jc w:val="center"/>
        <w:rPr>
          <w:rFonts w:ascii="宋体" w:hAnsi="宋体" w:cs="宋体"/>
          <w:b/>
          <w:sz w:val="24"/>
        </w:rPr>
      </w:pPr>
    </w:p>
    <w:p w14:paraId="3B1E819A">
      <w:pPr>
        <w:adjustRightInd/>
        <w:spacing w:line="360" w:lineRule="auto"/>
        <w:jc w:val="center"/>
        <w:rPr>
          <w:rFonts w:ascii="宋体" w:hAnsi="宋体" w:cs="宋体"/>
          <w:b/>
          <w:sz w:val="44"/>
          <w:szCs w:val="44"/>
        </w:rPr>
      </w:pPr>
    </w:p>
    <w:p w14:paraId="56F7FFCE">
      <w:pPr>
        <w:adjustRightInd/>
        <w:spacing w:line="360" w:lineRule="auto"/>
        <w:jc w:val="both"/>
        <w:rPr>
          <w:rFonts w:ascii="宋体" w:hAnsi="宋体" w:cs="宋体"/>
          <w:b/>
          <w:sz w:val="48"/>
          <w:szCs w:val="48"/>
        </w:rPr>
      </w:pPr>
    </w:p>
    <w:p w14:paraId="0FA10D79">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浙江康复医院信息机房建设项目</w:t>
      </w:r>
    </w:p>
    <w:p w14:paraId="25B305FD">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47C007ED">
      <w:pPr>
        <w:adjustRightInd/>
        <w:spacing w:line="360" w:lineRule="auto"/>
        <w:ind w:firstLine="0" w:firstLineChars="0"/>
        <w:jc w:val="center"/>
        <w:rPr>
          <w:rFonts w:ascii="宋体" w:hAnsi="宋体" w:cs="宋体"/>
          <w:b/>
          <w:bCs/>
          <w:color w:val="auto"/>
          <w:sz w:val="44"/>
          <w:szCs w:val="44"/>
        </w:rPr>
      </w:pPr>
      <w:r>
        <w:rPr>
          <w:rFonts w:hint="eastAsia" w:ascii="宋体" w:hAnsi="宋体" w:cs="宋体"/>
          <w:b/>
          <w:bCs/>
          <w:color w:val="auto"/>
          <w:sz w:val="44"/>
          <w:szCs w:val="44"/>
        </w:rPr>
        <w:t xml:space="preserve"> （电子招投标）</w:t>
      </w:r>
    </w:p>
    <w:p w14:paraId="689308C8">
      <w:pPr>
        <w:snapToGrid w:val="0"/>
        <w:spacing w:line="36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ZJXL-ZK-202504</w:t>
      </w:r>
    </w:p>
    <w:p w14:paraId="1CE34BC6">
      <w:pPr>
        <w:pStyle w:val="24"/>
        <w:ind w:firstLine="0" w:firstLineChars="0"/>
        <w:jc w:val="center"/>
        <w:rPr>
          <w:rFonts w:hint="eastAsia"/>
          <w:b/>
          <w:bCs/>
          <w:color w:val="auto"/>
          <w:lang w:eastAsia="zh-CN"/>
        </w:rPr>
      </w:pPr>
      <w:r>
        <w:rPr>
          <w:rFonts w:hint="eastAsia" w:hAnsi="宋体" w:cs="宋体"/>
          <w:b/>
          <w:bCs/>
          <w:color w:val="auto"/>
          <w:sz w:val="30"/>
          <w:szCs w:val="30"/>
          <w:lang w:val="en-US" w:eastAsia="zh-CN"/>
        </w:rPr>
        <w:t>采购计划文号</w:t>
      </w:r>
      <w:r>
        <w:rPr>
          <w:rFonts w:hint="eastAsia" w:ascii="宋体" w:hAnsi="宋体" w:cs="宋体"/>
          <w:b/>
          <w:bCs/>
          <w:color w:val="auto"/>
          <w:sz w:val="30"/>
          <w:szCs w:val="30"/>
        </w:rPr>
        <w:t>：[2025]46174号</w:t>
      </w:r>
    </w:p>
    <w:p w14:paraId="4C2383E6">
      <w:pPr>
        <w:adjustRightInd/>
        <w:spacing w:line="360" w:lineRule="auto"/>
        <w:rPr>
          <w:rFonts w:ascii="宋体" w:hAnsi="宋体" w:cs="宋体"/>
          <w:b/>
          <w:bCs/>
          <w:sz w:val="28"/>
          <w:szCs w:val="20"/>
        </w:rPr>
      </w:pPr>
    </w:p>
    <w:p w14:paraId="5662E531">
      <w:pPr>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06A17BD6">
      <w:pPr>
        <w:spacing w:line="360" w:lineRule="auto"/>
        <w:jc w:val="center"/>
        <w:rPr>
          <w:rFonts w:ascii="宋体" w:hAnsi="宋体" w:cs="宋体"/>
          <w:b/>
          <w:bCs/>
          <w:sz w:val="44"/>
          <w:szCs w:val="44"/>
        </w:rPr>
      </w:pPr>
    </w:p>
    <w:p w14:paraId="6367DA0A">
      <w:pPr>
        <w:spacing w:line="360" w:lineRule="auto"/>
        <w:jc w:val="center"/>
        <w:rPr>
          <w:rFonts w:ascii="宋体" w:hAnsi="宋体" w:cs="宋体"/>
          <w:b/>
          <w:bCs/>
          <w:sz w:val="24"/>
        </w:rPr>
      </w:pPr>
    </w:p>
    <w:p w14:paraId="7E13BA50">
      <w:pPr>
        <w:spacing w:line="360" w:lineRule="auto"/>
        <w:ind w:left="0" w:leftChars="0" w:firstLine="0" w:firstLineChars="0"/>
        <w:jc w:val="both"/>
        <w:rPr>
          <w:rFonts w:ascii="宋体" w:hAnsi="宋体" w:cs="宋体"/>
          <w:b/>
          <w:bCs/>
          <w:sz w:val="24"/>
        </w:rPr>
      </w:pPr>
    </w:p>
    <w:p w14:paraId="141F487C">
      <w:pPr>
        <w:spacing w:line="360" w:lineRule="auto"/>
        <w:jc w:val="center"/>
        <w:rPr>
          <w:rFonts w:ascii="宋体" w:hAnsi="宋体" w:cs="宋体"/>
          <w:b/>
          <w:bCs/>
          <w:sz w:val="24"/>
        </w:rPr>
      </w:pPr>
    </w:p>
    <w:p w14:paraId="5E5A1634">
      <w:pPr>
        <w:spacing w:line="360" w:lineRule="auto"/>
        <w:rPr>
          <w:rFonts w:ascii="宋体" w:hAnsi="宋体" w:cs="宋体"/>
          <w:b/>
          <w:bCs/>
          <w:sz w:val="32"/>
          <w:szCs w:val="32"/>
        </w:rPr>
      </w:pPr>
    </w:p>
    <w:p w14:paraId="5DCC3699">
      <w:pPr>
        <w:snapToGrid w:val="0"/>
        <w:spacing w:line="360" w:lineRule="auto"/>
        <w:ind w:firstLine="0" w:firstLineChars="0"/>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浙江康复医院</w:t>
      </w:r>
    </w:p>
    <w:p w14:paraId="5D7AC8D7">
      <w:pPr>
        <w:snapToGrid w:val="0"/>
        <w:spacing w:line="360" w:lineRule="auto"/>
        <w:ind w:firstLine="0" w:firstLineChars="0"/>
        <w:jc w:val="center"/>
        <w:rPr>
          <w:rFonts w:hint="eastAsia" w:ascii="宋体" w:hAnsi="宋体" w:cs="宋体"/>
          <w:b/>
          <w:bCs/>
          <w:sz w:val="32"/>
          <w:szCs w:val="32"/>
          <w:lang w:eastAsia="zh-CN"/>
        </w:rPr>
      </w:pPr>
      <w:r>
        <w:rPr>
          <w:rFonts w:hint="eastAsia" w:ascii="宋体" w:hAnsi="宋体" w:cs="宋体"/>
          <w:b/>
          <w:bCs/>
          <w:sz w:val="32"/>
          <w:szCs w:val="32"/>
          <w:lang w:eastAsia="zh-CN"/>
        </w:rPr>
        <w:t>浙江信镧建设工程咨询有限公司</w:t>
      </w:r>
    </w:p>
    <w:p w14:paraId="4B7E168C">
      <w:pPr>
        <w:snapToGrid w:val="0"/>
        <w:spacing w:line="360" w:lineRule="auto"/>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sz w:val="32"/>
          <w:szCs w:val="32"/>
        </w:rPr>
        <w:t>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3717798E">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65B79034">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0A5AB052">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68187B2">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6C66DD98">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3DC20D4C">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01115D93">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0E7B7603">
      <w:pPr>
        <w:bidi w:val="0"/>
        <w:rPr>
          <w:rFonts w:hint="eastAsia"/>
          <w:color w:val="auto"/>
        </w:rPr>
      </w:pPr>
      <w:r>
        <w:rPr>
          <w:rFonts w:hint="eastAsia"/>
          <w:color w:val="auto"/>
          <w:lang w:val="en-US" w:eastAsia="zh-CN"/>
        </w:rPr>
        <w:t>7、</w:t>
      </w:r>
      <w:r>
        <w:rPr>
          <w:rFonts w:hint="eastAsia"/>
          <w:color w:val="auto"/>
        </w:rPr>
        <w:t>不提供招标文件纸质版；</w:t>
      </w:r>
    </w:p>
    <w:p w14:paraId="250E0819">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50E4EF75">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A821DAF">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65AA2E00">
      <w:pPr>
        <w:spacing w:line="360" w:lineRule="auto"/>
        <w:jc w:val="center"/>
        <w:rPr>
          <w:rFonts w:ascii="宋体" w:hAnsi="宋体" w:cs="宋体"/>
          <w:sz w:val="24"/>
        </w:rPr>
      </w:pPr>
      <w:r>
        <w:rPr>
          <w:rFonts w:hint="eastAsia" w:ascii="宋体" w:hAnsi="宋体" w:cs="宋体"/>
          <w:color w:val="auto"/>
          <w:sz w:val="24"/>
        </w:rPr>
        <w:br w:type="page"/>
      </w:r>
      <w:bookmarkStart w:id="0" w:name="_Hlt67893495"/>
      <w:bookmarkEnd w:id="0"/>
    </w:p>
    <w:p w14:paraId="605488FA">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42036C66">
      <w:pPr>
        <w:pStyle w:val="42"/>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_Toc5971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rFonts w:ascii="宋体" w:hAnsi="宋体" w:cs="宋体"/>
          <w:b/>
          <w:bCs/>
          <w:szCs w:val="32"/>
        </w:rPr>
        <w:fldChar w:fldCharType="end"/>
      </w:r>
    </w:p>
    <w:p w14:paraId="0B83C27D">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_Toc174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rFonts w:ascii="宋体" w:hAnsi="宋体" w:cs="宋体"/>
          <w:b/>
          <w:bCs/>
          <w:szCs w:val="32"/>
        </w:rPr>
        <w:fldChar w:fldCharType="end"/>
      </w:r>
    </w:p>
    <w:p w14:paraId="6744A7A1">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_Toc17402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rFonts w:ascii="宋体" w:hAnsi="宋体" w:cs="宋体"/>
          <w:b/>
          <w:bCs/>
          <w:szCs w:val="32"/>
        </w:rPr>
        <w:fldChar w:fldCharType="end"/>
      </w:r>
    </w:p>
    <w:p w14:paraId="77888960">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_Toc14960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79</w:t>
      </w:r>
      <w:r>
        <w:rPr>
          <w:b/>
          <w:bCs/>
        </w:rPr>
        <w:fldChar w:fldCharType="end"/>
      </w:r>
      <w:r>
        <w:rPr>
          <w:rFonts w:ascii="宋体" w:hAnsi="宋体" w:cs="宋体"/>
          <w:b/>
          <w:bCs/>
          <w:szCs w:val="32"/>
        </w:rPr>
        <w:fldChar w:fldCharType="end"/>
      </w:r>
    </w:p>
    <w:p w14:paraId="52DCA828">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_Toc6832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85</w:t>
      </w:r>
      <w:r>
        <w:rPr>
          <w:b/>
          <w:bCs/>
        </w:rPr>
        <w:fldChar w:fldCharType="end"/>
      </w:r>
      <w:r>
        <w:rPr>
          <w:rFonts w:ascii="宋体" w:hAnsi="宋体" w:cs="宋体"/>
          <w:b/>
          <w:bCs/>
          <w:szCs w:val="32"/>
        </w:rPr>
        <w:fldChar w:fldCharType="end"/>
      </w:r>
    </w:p>
    <w:p w14:paraId="7044E8E4">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_Toc24822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88</w:t>
      </w:r>
      <w:r>
        <w:rPr>
          <w:b/>
          <w:bCs/>
        </w:rPr>
        <w:fldChar w:fldCharType="end"/>
      </w:r>
      <w:r>
        <w:rPr>
          <w:rFonts w:ascii="宋体" w:hAnsi="宋体" w:cs="宋体"/>
          <w:b/>
          <w:bCs/>
          <w:szCs w:val="32"/>
        </w:rPr>
        <w:fldChar w:fldCharType="end"/>
      </w:r>
    </w:p>
    <w:p w14:paraId="4D63B5E6">
      <w:pPr>
        <w:spacing w:line="360" w:lineRule="auto"/>
        <w:rPr>
          <w:rFonts w:ascii="宋体" w:hAnsi="宋体" w:cs="宋体"/>
          <w:sz w:val="32"/>
          <w:szCs w:val="32"/>
        </w:rPr>
      </w:pPr>
      <w:r>
        <w:rPr>
          <w:rFonts w:ascii="宋体" w:hAnsi="宋体" w:cs="宋体"/>
          <w:b/>
          <w:bCs/>
          <w:szCs w:val="32"/>
        </w:rPr>
        <w:fldChar w:fldCharType="end"/>
      </w:r>
    </w:p>
    <w:p w14:paraId="1DEC1F9A">
      <w:pPr>
        <w:spacing w:line="360" w:lineRule="auto"/>
        <w:outlineLvl w:val="0"/>
        <w:rPr>
          <w:rFonts w:ascii="宋体" w:hAnsi="宋体" w:cs="宋体"/>
          <w:sz w:val="32"/>
          <w:szCs w:val="32"/>
        </w:rPr>
      </w:pPr>
    </w:p>
    <w:p w14:paraId="4218B0EE">
      <w:pPr>
        <w:spacing w:line="360" w:lineRule="auto"/>
        <w:ind w:firstLine="549" w:firstLineChars="229"/>
        <w:rPr>
          <w:rFonts w:ascii="宋体" w:hAnsi="宋体" w:cs="宋体"/>
          <w:sz w:val="24"/>
        </w:rPr>
      </w:pPr>
      <w:bookmarkStart w:id="3" w:name="_Hlt91233176"/>
      <w:bookmarkEnd w:id="3"/>
      <w:bookmarkStart w:id="4" w:name="_Toc91899869"/>
    </w:p>
    <w:p w14:paraId="28C1A939">
      <w:pPr>
        <w:spacing w:line="360" w:lineRule="auto"/>
        <w:ind w:firstLine="549" w:firstLineChars="229"/>
        <w:rPr>
          <w:rFonts w:ascii="宋体" w:hAnsi="宋体" w:cs="宋体"/>
          <w:sz w:val="24"/>
        </w:rPr>
      </w:pPr>
    </w:p>
    <w:p w14:paraId="3AD9B157">
      <w:pPr>
        <w:spacing w:line="360" w:lineRule="auto"/>
        <w:ind w:firstLine="549" w:firstLineChars="229"/>
        <w:rPr>
          <w:rFonts w:ascii="宋体" w:hAnsi="宋体" w:cs="宋体"/>
          <w:sz w:val="24"/>
        </w:rPr>
      </w:pPr>
    </w:p>
    <w:p w14:paraId="588ECA37">
      <w:pPr>
        <w:spacing w:line="360" w:lineRule="auto"/>
        <w:ind w:firstLine="549" w:firstLineChars="229"/>
        <w:rPr>
          <w:rFonts w:ascii="宋体" w:hAnsi="宋体" w:cs="宋体"/>
          <w:sz w:val="24"/>
        </w:rPr>
      </w:pPr>
    </w:p>
    <w:p w14:paraId="0CC50F12">
      <w:pPr>
        <w:spacing w:line="360" w:lineRule="auto"/>
        <w:ind w:firstLine="549" w:firstLineChars="229"/>
        <w:rPr>
          <w:rFonts w:ascii="宋体" w:hAnsi="宋体" w:cs="宋体"/>
          <w:sz w:val="24"/>
        </w:rPr>
      </w:pPr>
    </w:p>
    <w:p w14:paraId="56545530">
      <w:pPr>
        <w:spacing w:line="360" w:lineRule="auto"/>
        <w:ind w:firstLine="549" w:firstLineChars="229"/>
        <w:rPr>
          <w:rFonts w:ascii="宋体" w:hAnsi="宋体" w:cs="宋体"/>
          <w:sz w:val="24"/>
        </w:rPr>
      </w:pPr>
    </w:p>
    <w:p w14:paraId="6E0568DF">
      <w:pPr>
        <w:spacing w:line="360" w:lineRule="auto"/>
        <w:ind w:firstLine="549" w:firstLineChars="229"/>
        <w:rPr>
          <w:rFonts w:ascii="宋体" w:hAnsi="宋体" w:cs="宋体"/>
          <w:sz w:val="24"/>
        </w:rPr>
      </w:pPr>
    </w:p>
    <w:p w14:paraId="7980AEBE">
      <w:pPr>
        <w:spacing w:line="360" w:lineRule="auto"/>
        <w:ind w:firstLine="549" w:firstLineChars="229"/>
        <w:rPr>
          <w:rFonts w:ascii="宋体" w:hAnsi="宋体" w:cs="宋体"/>
          <w:sz w:val="24"/>
        </w:rPr>
      </w:pPr>
    </w:p>
    <w:p w14:paraId="31EF7EE3">
      <w:pPr>
        <w:spacing w:line="360" w:lineRule="auto"/>
        <w:ind w:firstLine="549" w:firstLineChars="229"/>
        <w:rPr>
          <w:rFonts w:ascii="宋体" w:hAnsi="宋体" w:cs="宋体"/>
          <w:sz w:val="24"/>
        </w:rPr>
      </w:pPr>
    </w:p>
    <w:p w14:paraId="429317FF">
      <w:pPr>
        <w:spacing w:line="360" w:lineRule="auto"/>
        <w:ind w:firstLine="549" w:firstLineChars="229"/>
        <w:rPr>
          <w:rFonts w:ascii="宋体" w:hAnsi="宋体" w:cs="宋体"/>
          <w:sz w:val="24"/>
        </w:rPr>
      </w:pPr>
    </w:p>
    <w:p w14:paraId="5D190014">
      <w:pPr>
        <w:spacing w:line="360" w:lineRule="auto"/>
        <w:ind w:firstLine="549" w:firstLineChars="229"/>
        <w:rPr>
          <w:rFonts w:ascii="宋体" w:hAnsi="宋体" w:cs="宋体"/>
          <w:sz w:val="24"/>
        </w:rPr>
      </w:pPr>
    </w:p>
    <w:p w14:paraId="62ACFA9C">
      <w:pPr>
        <w:spacing w:line="360" w:lineRule="auto"/>
        <w:ind w:firstLine="549" w:firstLineChars="229"/>
        <w:rPr>
          <w:rFonts w:ascii="宋体" w:hAnsi="宋体" w:cs="宋体"/>
          <w:sz w:val="24"/>
        </w:rPr>
      </w:pPr>
    </w:p>
    <w:bookmarkEnd w:id="4"/>
    <w:p w14:paraId="2A9BB3A7">
      <w:pPr>
        <w:pStyle w:val="3"/>
        <w:bidi w:val="0"/>
        <w:rPr>
          <w:rFonts w:hint="eastAsia" w:ascii="宋体" w:hAnsi="宋体" w:cs="宋体"/>
          <w:b/>
          <w:sz w:val="36"/>
          <w:szCs w:val="20"/>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728647"/>
      <w:bookmarkEnd w:id="5"/>
      <w:bookmarkStart w:id="6" w:name="_Hlt74707423"/>
      <w:bookmarkEnd w:id="6"/>
      <w:bookmarkStart w:id="7" w:name="_Hlt74649545"/>
      <w:bookmarkEnd w:id="7"/>
      <w:bookmarkStart w:id="8" w:name="_Hlt74729822"/>
      <w:bookmarkEnd w:id="8"/>
      <w:bookmarkStart w:id="9" w:name="_Toc26969"/>
      <w:bookmarkStart w:id="10" w:name="_Toc19410"/>
      <w:bookmarkStart w:id="11" w:name="第二部分"/>
      <w:bookmarkStart w:id="12" w:name="_Toc91899870"/>
      <w:bookmarkStart w:id="13" w:name="_Toc91899871"/>
    </w:p>
    <w:p w14:paraId="4D7E1752">
      <w:pPr>
        <w:pStyle w:val="3"/>
        <w:bidi w:val="0"/>
        <w:rPr>
          <w:rFonts w:ascii="宋体" w:hAnsi="宋体" w:cs="宋体"/>
          <w:b/>
          <w:sz w:val="36"/>
          <w:szCs w:val="20"/>
        </w:rPr>
      </w:pPr>
      <w:bookmarkStart w:id="14" w:name="_Toc5971"/>
      <w:r>
        <w:rPr>
          <w:rFonts w:hint="eastAsia" w:ascii="宋体" w:hAnsi="宋体" w:cs="宋体"/>
          <w:b/>
          <w:sz w:val="36"/>
          <w:szCs w:val="20"/>
        </w:rPr>
        <w:t>第一部分 招标公告</w:t>
      </w:r>
      <w:bookmarkEnd w:id="9"/>
      <w:bookmarkEnd w:id="10"/>
      <w:bookmarkEnd w:id="14"/>
    </w:p>
    <w:p w14:paraId="69B4CC6E">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14:paraId="4DA51E6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浙江康复医院信息机房建设项目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F7527FC">
      <w:pPr>
        <w:bidi w:val="0"/>
        <w:rPr>
          <w:rFonts w:hint="eastAsia"/>
          <w:color w:val="auto"/>
        </w:rPr>
      </w:pPr>
    </w:p>
    <w:p w14:paraId="513962B9">
      <w:pPr>
        <w:pStyle w:val="5"/>
        <w:rPr>
          <w:color w:val="auto"/>
        </w:rPr>
      </w:pPr>
      <w:bookmarkStart w:id="484" w:name="_GoBack"/>
      <w:r>
        <w:rPr>
          <w:rFonts w:hint="eastAsia"/>
          <w:color w:val="auto"/>
        </w:rPr>
        <w:t xml:space="preserve">一、项目基本情况                                            </w:t>
      </w:r>
    </w:p>
    <w:p w14:paraId="01AB1C1D">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ZJXL-ZK-202504</w:t>
      </w:r>
    </w:p>
    <w:p w14:paraId="7EF2B9AB">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浙江康复医院信息机房建设项目</w:t>
      </w:r>
    </w:p>
    <w:p w14:paraId="4689B7D6">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1470000</w:t>
      </w:r>
      <w:r>
        <w:rPr>
          <w:rFonts w:hint="eastAsia" w:ascii="宋体" w:hAnsi="宋体" w:cs="宋体"/>
          <w:color w:val="auto"/>
          <w:sz w:val="24"/>
        </w:rPr>
        <w:t xml:space="preserve"> </w:t>
      </w:r>
    </w:p>
    <w:p w14:paraId="6DBC33D8">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1470000</w:t>
      </w:r>
    </w:p>
    <w:p w14:paraId="0934C84D">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2C06F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2A13F77C">
            <w:pPr>
              <w:pStyle w:val="144"/>
              <w:widowControl w:val="0"/>
              <w:rPr>
                <w:color w:val="auto"/>
              </w:rPr>
            </w:pPr>
            <w:r>
              <w:rPr>
                <w:rFonts w:hint="eastAsia"/>
                <w:color w:val="auto"/>
              </w:rPr>
              <w:t>标项号</w:t>
            </w:r>
          </w:p>
        </w:tc>
        <w:tc>
          <w:tcPr>
            <w:tcW w:w="1381" w:type="dxa"/>
            <w:vAlign w:val="center"/>
          </w:tcPr>
          <w:p w14:paraId="5332E51C">
            <w:pPr>
              <w:pStyle w:val="144"/>
              <w:widowControl w:val="0"/>
              <w:rPr>
                <w:color w:val="auto"/>
              </w:rPr>
            </w:pPr>
            <w:r>
              <w:rPr>
                <w:rFonts w:hint="eastAsia"/>
                <w:color w:val="auto"/>
              </w:rPr>
              <w:t>标项名称</w:t>
            </w:r>
          </w:p>
        </w:tc>
        <w:tc>
          <w:tcPr>
            <w:tcW w:w="799" w:type="dxa"/>
            <w:vAlign w:val="center"/>
          </w:tcPr>
          <w:p w14:paraId="26F5E7AC">
            <w:pPr>
              <w:pStyle w:val="144"/>
              <w:widowControl w:val="0"/>
              <w:rPr>
                <w:color w:val="auto"/>
              </w:rPr>
            </w:pPr>
            <w:r>
              <w:rPr>
                <w:rFonts w:hint="eastAsia"/>
                <w:color w:val="auto"/>
              </w:rPr>
              <w:t>数量</w:t>
            </w:r>
          </w:p>
        </w:tc>
        <w:tc>
          <w:tcPr>
            <w:tcW w:w="1317" w:type="dxa"/>
            <w:vAlign w:val="center"/>
          </w:tcPr>
          <w:p w14:paraId="07178A02">
            <w:pPr>
              <w:pStyle w:val="144"/>
              <w:widowControl w:val="0"/>
              <w:rPr>
                <w:rFonts w:hint="eastAsia"/>
                <w:color w:val="auto"/>
                <w:lang w:val="en-US" w:eastAsia="zh-CN"/>
              </w:rPr>
            </w:pPr>
            <w:r>
              <w:rPr>
                <w:rFonts w:hint="eastAsia"/>
                <w:color w:val="auto"/>
                <w:lang w:val="en-US" w:eastAsia="zh-CN"/>
              </w:rPr>
              <w:t>预算金额（元）</w:t>
            </w:r>
          </w:p>
        </w:tc>
        <w:tc>
          <w:tcPr>
            <w:tcW w:w="3224" w:type="dxa"/>
            <w:vAlign w:val="center"/>
          </w:tcPr>
          <w:p w14:paraId="56E202C6">
            <w:pPr>
              <w:pStyle w:val="144"/>
              <w:widowControl w:val="0"/>
              <w:rPr>
                <w:color w:val="auto"/>
              </w:rPr>
            </w:pPr>
            <w:r>
              <w:rPr>
                <w:color w:val="auto"/>
              </w:rPr>
              <w:t>简要规格描述或项目基本概况介绍、用途：</w:t>
            </w:r>
          </w:p>
        </w:tc>
        <w:tc>
          <w:tcPr>
            <w:tcW w:w="1241" w:type="dxa"/>
            <w:vAlign w:val="center"/>
          </w:tcPr>
          <w:p w14:paraId="125F72C0">
            <w:pPr>
              <w:pStyle w:val="144"/>
              <w:widowControl w:val="0"/>
              <w:rPr>
                <w:color w:val="auto"/>
              </w:rPr>
            </w:pPr>
            <w:r>
              <w:rPr>
                <w:rFonts w:hint="eastAsia"/>
                <w:color w:val="auto"/>
              </w:rPr>
              <w:t>备注</w:t>
            </w:r>
          </w:p>
        </w:tc>
      </w:tr>
      <w:tr w14:paraId="65BDF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37001483">
            <w:pPr>
              <w:pStyle w:val="144"/>
              <w:widowControl w:val="0"/>
              <w:rPr>
                <w:color w:val="auto"/>
              </w:rPr>
            </w:pPr>
            <w:r>
              <w:rPr>
                <w:rFonts w:hint="eastAsia"/>
                <w:color w:val="auto"/>
              </w:rPr>
              <w:t>1</w:t>
            </w:r>
          </w:p>
        </w:tc>
        <w:tc>
          <w:tcPr>
            <w:tcW w:w="1381" w:type="dxa"/>
            <w:vAlign w:val="center"/>
          </w:tcPr>
          <w:p w14:paraId="6A42B780">
            <w:pPr>
              <w:pStyle w:val="144"/>
              <w:widowControl w:val="0"/>
              <w:rPr>
                <w:rFonts w:hint="eastAsia"/>
                <w:color w:val="auto"/>
                <w:lang w:eastAsia="zh-CN"/>
              </w:rPr>
            </w:pPr>
            <w:r>
              <w:rPr>
                <w:rFonts w:hint="eastAsia"/>
                <w:color w:val="auto"/>
                <w:lang w:eastAsia="zh-CN"/>
              </w:rPr>
              <w:t>浙江康复医院信息机房建设项目</w:t>
            </w:r>
          </w:p>
        </w:tc>
        <w:tc>
          <w:tcPr>
            <w:tcW w:w="799" w:type="dxa"/>
            <w:vAlign w:val="center"/>
          </w:tcPr>
          <w:p w14:paraId="6932702A">
            <w:pPr>
              <w:pStyle w:val="144"/>
              <w:widowControl w:val="0"/>
              <w:rPr>
                <w:rFonts w:hint="default"/>
                <w:color w:val="auto"/>
                <w:lang w:val="en-US" w:eastAsia="zh-CN"/>
              </w:rPr>
            </w:pPr>
            <w:r>
              <w:rPr>
                <w:rFonts w:hint="eastAsia"/>
                <w:color w:val="auto"/>
                <w:lang w:val="en-US" w:eastAsia="zh-CN"/>
              </w:rPr>
              <w:t>1项</w:t>
            </w:r>
          </w:p>
        </w:tc>
        <w:tc>
          <w:tcPr>
            <w:tcW w:w="1317" w:type="dxa"/>
            <w:vAlign w:val="center"/>
          </w:tcPr>
          <w:p w14:paraId="7BEB8CEA">
            <w:pPr>
              <w:pStyle w:val="144"/>
              <w:widowControl w:val="0"/>
              <w:rPr>
                <w:rFonts w:hint="eastAsia"/>
                <w:color w:val="auto"/>
              </w:rPr>
            </w:pPr>
            <w:r>
              <w:rPr>
                <w:rFonts w:hint="eastAsia" w:ascii="宋体" w:hAnsi="宋体" w:cs="宋体"/>
                <w:b/>
                <w:color w:val="auto"/>
                <w:sz w:val="24"/>
                <w:lang w:val="en-US" w:eastAsia="zh-CN"/>
              </w:rPr>
              <w:t>1470000</w:t>
            </w:r>
          </w:p>
        </w:tc>
        <w:tc>
          <w:tcPr>
            <w:tcW w:w="3224" w:type="dxa"/>
            <w:vAlign w:val="center"/>
          </w:tcPr>
          <w:p w14:paraId="50E38729">
            <w:pPr>
              <w:pStyle w:val="144"/>
              <w:widowControl w:val="0"/>
              <w:rPr>
                <w:color w:val="auto"/>
              </w:rPr>
            </w:pPr>
            <w:r>
              <w:rPr>
                <w:rFonts w:hint="eastAsia"/>
                <w:color w:val="auto"/>
                <w:lang w:eastAsia="zh-CN"/>
              </w:rPr>
              <w:t>信息机房建设</w:t>
            </w:r>
            <w:r>
              <w:rPr>
                <w:rFonts w:hint="eastAsia"/>
                <w:color w:val="auto"/>
              </w:rPr>
              <w:t>，详见招标文件第三部分采购需求。</w:t>
            </w:r>
          </w:p>
        </w:tc>
        <w:tc>
          <w:tcPr>
            <w:tcW w:w="1241" w:type="dxa"/>
            <w:vAlign w:val="center"/>
          </w:tcPr>
          <w:p w14:paraId="00EB8E8A">
            <w:pPr>
              <w:pStyle w:val="144"/>
              <w:widowControl w:val="0"/>
              <w:rPr>
                <w:rFonts w:hint="eastAsia"/>
                <w:color w:val="auto"/>
                <w:lang w:eastAsia="zh-CN"/>
              </w:rPr>
            </w:pPr>
          </w:p>
        </w:tc>
      </w:tr>
    </w:tbl>
    <w:p w14:paraId="6A9B397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宋体" w:hAnsi="宋体" w:eastAsia="宋体" w:cs="宋体"/>
          <w:b/>
          <w:color w:val="auto"/>
          <w:lang w:val="en-US"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color w:val="auto"/>
          <w:lang w:val="en-US" w:eastAsia="zh-CN"/>
        </w:rPr>
        <w:t>详见采购文件要求</w:t>
      </w:r>
    </w:p>
    <w:p w14:paraId="3BDF9888">
      <w:pPr>
        <w:pStyle w:val="16"/>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C713D9B">
      <w:pPr>
        <w:pStyle w:val="5"/>
      </w:pPr>
      <w:r>
        <w:rPr>
          <w:rFonts w:hint="eastAsia"/>
        </w:rPr>
        <w:t>二、申请人的资格要求</w:t>
      </w:r>
    </w:p>
    <w:p w14:paraId="4AFB52E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2D23136">
      <w:pPr>
        <w:spacing w:line="360" w:lineRule="auto"/>
        <w:ind w:firstLine="480" w:firstLineChars="200"/>
        <w:rPr>
          <w:rFonts w:ascii="宋体" w:hAnsi="宋体" w:cs="宋体"/>
          <w:color w:val="FF0000"/>
          <w:sz w:val="24"/>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承接</w:t>
      </w:r>
      <w:r>
        <w:rPr>
          <w:rFonts w:hint="eastAsia" w:ascii="宋体" w:hAnsi="宋体" w:cs="宋体"/>
          <w:color w:val="auto"/>
          <w:sz w:val="24"/>
          <w:highlight w:val="none"/>
        </w:rPr>
        <w:t>，提供中小企业声明函；</w:t>
      </w:r>
    </w:p>
    <w:p w14:paraId="24A6948E">
      <w:pPr>
        <w:spacing w:line="360" w:lineRule="auto"/>
        <w:ind w:firstLine="480" w:firstLineChars="200"/>
        <w:outlineLvl w:val="9"/>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color w:val="auto"/>
          <w:sz w:val="24"/>
          <w:lang w:val="en-US" w:eastAsia="zh-CN"/>
        </w:rPr>
        <w:t>无。</w:t>
      </w:r>
    </w:p>
    <w:p w14:paraId="5E9BB10D">
      <w:pPr>
        <w:pStyle w:val="5"/>
      </w:pPr>
      <w:r>
        <w:rPr>
          <w:rFonts w:hint="eastAsia"/>
        </w:rPr>
        <w:t xml:space="preserve">三、获取招标文件 </w:t>
      </w:r>
    </w:p>
    <w:p w14:paraId="2A9678F1">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72D950B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E85C2B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661430E">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2738CD1">
      <w:pPr>
        <w:pStyle w:val="5"/>
        <w:rPr>
          <w:color w:val="auto"/>
        </w:rPr>
      </w:pPr>
      <w:r>
        <w:rPr>
          <w:rFonts w:hint="eastAsia"/>
          <w:color w:val="auto"/>
        </w:rPr>
        <w:t>四、提交投标文件截止时间、开标时间和地点</w:t>
      </w:r>
    </w:p>
    <w:p w14:paraId="5C69EBB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14:paraId="2AC1E14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2C6D21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14:paraId="7FE7E3C7">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41FC35A">
      <w:pPr>
        <w:pStyle w:val="5"/>
      </w:pPr>
      <w:r>
        <w:rPr>
          <w:rFonts w:hint="eastAsia"/>
        </w:rPr>
        <w:t xml:space="preserve">五、公告期限 </w:t>
      </w:r>
    </w:p>
    <w:p w14:paraId="7CEFD903">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2824EF4">
      <w:pPr>
        <w:pStyle w:val="5"/>
      </w:pPr>
      <w:r>
        <w:rPr>
          <w:rFonts w:hint="eastAsia"/>
        </w:rPr>
        <w:t>六、其他补充事宜</w:t>
      </w:r>
    </w:p>
    <w:p w14:paraId="2DA09151">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75254A">
      <w:pPr>
        <w:numPr>
          <w:ilvl w:val="-1"/>
          <w:numId w:val="0"/>
        </w:numPr>
        <w:spacing w:line="360" w:lineRule="auto"/>
        <w:ind w:firstLine="480" w:firstLineChars="200"/>
        <w:rPr>
          <w:rFonts w:hint="eastAsia" w:ascii="宋体" w:hAnsi="宋体" w:cs="宋体"/>
          <w:sz w:val="24"/>
        </w:rPr>
      </w:pPr>
      <w:r>
        <w:rPr>
          <w:rFonts w:hint="eastAsia" w:ascii="宋体" w:hAnsi="宋体" w:cs="宋体"/>
          <w:sz w:val="24"/>
        </w:rPr>
        <w:t>4.其他事项：</w:t>
      </w:r>
    </w:p>
    <w:p w14:paraId="4FF9F35B">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14:paraId="3C241C43">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0C0F6B41">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3737654E">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6AC63D90">
      <w:pPr>
        <w:pStyle w:val="5"/>
      </w:pPr>
      <w:r>
        <w:rPr>
          <w:rFonts w:hint="eastAsia"/>
        </w:rPr>
        <w:t>七、对本次采购提出询问、质疑、投诉，请按以下方式联系</w:t>
      </w:r>
    </w:p>
    <w:p w14:paraId="34D3CE51">
      <w:pPr>
        <w:spacing w:line="360" w:lineRule="auto"/>
        <w:ind w:firstLine="482" w:firstLineChars="200"/>
        <w:rPr>
          <w:rFonts w:ascii="宋体" w:hAnsi="宋体" w:cs="宋体"/>
          <w:sz w:val="24"/>
        </w:rPr>
      </w:pPr>
      <w:r>
        <w:rPr>
          <w:rFonts w:hint="eastAsia" w:ascii="宋体" w:hAnsi="宋体" w:cs="宋体"/>
          <w:b/>
          <w:bCs/>
          <w:sz w:val="24"/>
        </w:rPr>
        <w:t>1.采购人信息</w:t>
      </w:r>
    </w:p>
    <w:p w14:paraId="6DF60944">
      <w:pPr>
        <w:spacing w:line="360" w:lineRule="auto"/>
        <w:ind w:firstLine="480"/>
        <w:rPr>
          <w:rFonts w:hint="eastAsia" w:ascii="宋体" w:hAnsi="宋体" w:cs="宋体" w:eastAsiaTheme="minorEastAsia"/>
          <w:lang w:eastAsia="zh-CN"/>
        </w:rPr>
      </w:pPr>
      <w:r>
        <w:rPr>
          <w:rFonts w:hint="eastAsia" w:ascii="宋体" w:hAnsi="宋体" w:cs="宋体"/>
          <w:sz w:val="24"/>
        </w:rPr>
        <w:t xml:space="preserve">  </w:t>
      </w:r>
      <w:r>
        <w:rPr>
          <w:rFonts w:hint="eastAsia" w:ascii="宋体" w:hAnsi="宋体" w:cs="宋体"/>
        </w:rPr>
        <w:t>名    称：</w:t>
      </w:r>
      <w:r>
        <w:rPr>
          <w:rFonts w:hint="eastAsia" w:cs="仿宋_GB2312" w:asciiTheme="minorEastAsia" w:hAnsiTheme="minorEastAsia" w:eastAsiaTheme="minorEastAsia"/>
          <w:lang w:eastAsia="zh-CN"/>
        </w:rPr>
        <w:t>浙江康复医院</w:t>
      </w:r>
    </w:p>
    <w:p w14:paraId="21678FE9">
      <w:pPr>
        <w:spacing w:line="360" w:lineRule="auto"/>
        <w:ind w:firstLine="480"/>
        <w:rPr>
          <w:rFonts w:hint="eastAsia" w:ascii="宋体" w:hAnsi="宋体" w:cs="宋体"/>
        </w:rPr>
      </w:pPr>
      <w:r>
        <w:rPr>
          <w:rFonts w:hint="eastAsia" w:ascii="宋体" w:hAnsi="宋体" w:cs="宋体"/>
        </w:rPr>
        <w:t xml:space="preserve">  地    址：</w:t>
      </w:r>
      <w:r>
        <w:rPr>
          <w:rFonts w:hint="default" w:ascii="Times New Roman" w:hAnsi="Times New Roman" w:eastAsia="宋体" w:cs="Times New Roman"/>
          <w:kern w:val="2"/>
        </w:rPr>
        <w:t>浙江省杭州市上城区观音塘路103号</w:t>
      </w:r>
      <w:r>
        <w:rPr>
          <w:rFonts w:hint="eastAsia" w:ascii="宋体" w:hAnsi="宋体" w:cs="宋体"/>
        </w:rPr>
        <w:t xml:space="preserve">       </w:t>
      </w:r>
    </w:p>
    <w:p w14:paraId="4A9E1F96">
      <w:pPr>
        <w:spacing w:line="360" w:lineRule="auto"/>
        <w:ind w:firstLine="720" w:firstLineChars="300"/>
        <w:rPr>
          <w:rFonts w:hint="eastAsia" w:ascii="宋体" w:hAnsi="宋体" w:cs="宋体"/>
        </w:rPr>
      </w:pPr>
      <w:r>
        <w:rPr>
          <w:rFonts w:hint="eastAsia" w:ascii="宋体" w:hAnsi="宋体" w:cs="宋体"/>
        </w:rPr>
        <w:t>传    真： /</w:t>
      </w:r>
    </w:p>
    <w:p w14:paraId="53C11822">
      <w:pPr>
        <w:spacing w:line="360" w:lineRule="auto"/>
        <w:ind w:firstLine="720" w:firstLineChars="300"/>
        <w:rPr>
          <w:rFonts w:hint="eastAsia" w:ascii="宋体" w:hAnsi="宋体" w:cs="宋体"/>
        </w:rPr>
      </w:pPr>
      <w:r>
        <w:rPr>
          <w:rFonts w:hint="eastAsia" w:ascii="宋体" w:hAnsi="宋体" w:cs="宋体"/>
        </w:rPr>
        <w:t>项目联系人（询问）：</w:t>
      </w:r>
      <w:r>
        <w:rPr>
          <w:rFonts w:hint="default" w:ascii="Times New Roman" w:hAnsi="Times New Roman" w:eastAsia="宋体" w:cs="Times New Roman"/>
          <w:kern w:val="2"/>
        </w:rPr>
        <w:t>杨老</w:t>
      </w:r>
      <w:r>
        <w:rPr>
          <w:rFonts w:ascii="Times New Roman" w:hAnsi="Times New Roman" w:eastAsia="宋体" w:cs="Times New Roman"/>
          <w:kern w:val="2"/>
        </w:rPr>
        <w:t>师</w:t>
      </w:r>
      <w:r>
        <w:rPr>
          <w:rFonts w:hint="eastAsia" w:ascii="宋体" w:hAnsi="宋体" w:cs="宋体"/>
        </w:rPr>
        <w:t xml:space="preserve"> </w:t>
      </w:r>
    </w:p>
    <w:p w14:paraId="6BCBBA22">
      <w:pPr>
        <w:spacing w:line="360" w:lineRule="auto"/>
        <w:ind w:firstLine="480"/>
        <w:rPr>
          <w:rFonts w:hint="eastAsia" w:ascii="宋体" w:hAnsi="宋体" w:cs="宋体"/>
        </w:rPr>
      </w:pPr>
      <w:r>
        <w:rPr>
          <w:rFonts w:hint="eastAsia" w:ascii="宋体" w:hAnsi="宋体" w:cs="宋体"/>
        </w:rPr>
        <w:t xml:space="preserve">  项目联系方式（询问）：0571-86439831 </w:t>
      </w:r>
    </w:p>
    <w:p w14:paraId="698265A5">
      <w:pPr>
        <w:spacing w:line="360" w:lineRule="auto"/>
        <w:ind w:firstLine="480"/>
        <w:rPr>
          <w:rFonts w:hint="eastAsia" w:ascii="宋体" w:hAnsi="宋体" w:cs="宋体"/>
        </w:rPr>
      </w:pPr>
      <w:r>
        <w:rPr>
          <w:rFonts w:hint="eastAsia" w:ascii="宋体" w:hAnsi="宋体" w:cs="宋体"/>
        </w:rPr>
        <w:t xml:space="preserve">  质疑联系人：王老师</w:t>
      </w:r>
    </w:p>
    <w:p w14:paraId="1C03A595">
      <w:pPr>
        <w:spacing w:line="360" w:lineRule="auto"/>
        <w:ind w:firstLine="720" w:firstLineChars="300"/>
        <w:rPr>
          <w:rFonts w:ascii="宋体" w:hAnsi="宋体" w:cs="宋体"/>
          <w:sz w:val="24"/>
        </w:rPr>
      </w:pPr>
      <w:r>
        <w:rPr>
          <w:rFonts w:hint="eastAsia" w:ascii="宋体" w:hAnsi="宋体" w:cs="宋体"/>
        </w:rPr>
        <w:t>质疑联系方式：0571-86439830</w:t>
      </w:r>
      <w:r>
        <w:rPr>
          <w:rFonts w:hint="eastAsia" w:ascii="宋体" w:hAnsi="宋体" w:cs="宋体"/>
          <w:sz w:val="24"/>
        </w:rPr>
        <w:t xml:space="preserve"> </w:t>
      </w:r>
    </w:p>
    <w:p w14:paraId="1BEDF493">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1792A4C3">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14:paraId="69999136">
      <w:pPr>
        <w:spacing w:line="360" w:lineRule="auto"/>
        <w:ind w:firstLine="720" w:firstLineChars="300"/>
        <w:rPr>
          <w:rFonts w:ascii="宋体" w:hAnsi="宋体" w:cs="宋体"/>
          <w:sz w:val="24"/>
        </w:rPr>
      </w:pPr>
      <w:r>
        <w:rPr>
          <w:rFonts w:hint="eastAsia" w:ascii="宋体" w:hAnsi="宋体" w:cs="宋体"/>
          <w:sz w:val="24"/>
        </w:rPr>
        <w:t>地    址：杭州市西湖区文二路391号西湖国际科技大厦B2</w:t>
      </w:r>
      <w:r>
        <w:rPr>
          <w:rFonts w:hint="eastAsia" w:ascii="宋体" w:hAnsi="宋体" w:cs="宋体"/>
          <w:sz w:val="24"/>
          <w:lang w:val="en-US" w:eastAsia="zh-CN"/>
        </w:rPr>
        <w:t>-</w:t>
      </w:r>
      <w:r>
        <w:rPr>
          <w:rFonts w:hint="eastAsia" w:ascii="宋体" w:hAnsi="宋体" w:cs="宋体"/>
          <w:sz w:val="24"/>
        </w:rPr>
        <w:t>1107室  </w:t>
      </w:r>
    </w:p>
    <w:p w14:paraId="7EEAB9BF">
      <w:pPr>
        <w:spacing w:line="360" w:lineRule="auto"/>
        <w:rPr>
          <w:rFonts w:ascii="宋体" w:hAnsi="宋体" w:cs="宋体"/>
          <w:sz w:val="24"/>
        </w:rPr>
      </w:pPr>
      <w:r>
        <w:rPr>
          <w:rFonts w:hint="eastAsia" w:ascii="宋体" w:hAnsi="宋体" w:cs="宋体"/>
          <w:sz w:val="24"/>
        </w:rPr>
        <w:t xml:space="preserve">  传    真：0571-85024997               </w:t>
      </w:r>
    </w:p>
    <w:p w14:paraId="3197400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rPr>
        <w:t>曹威、刘泽、赵锋</w:t>
      </w:r>
      <w:r>
        <w:rPr>
          <w:rFonts w:hint="eastAsia" w:ascii="宋体" w:hAnsi="宋体" w:cs="宋体"/>
          <w:sz w:val="24"/>
        </w:rPr>
        <w:t xml:space="preserve">          </w:t>
      </w:r>
    </w:p>
    <w:p w14:paraId="236B353D">
      <w:pPr>
        <w:spacing w:line="360" w:lineRule="auto"/>
        <w:rPr>
          <w:rFonts w:ascii="宋体" w:hAnsi="宋体" w:cs="宋体"/>
          <w:sz w:val="24"/>
        </w:rPr>
      </w:pPr>
      <w:r>
        <w:rPr>
          <w:rFonts w:hint="eastAsia" w:ascii="宋体" w:hAnsi="宋体" w:cs="宋体"/>
          <w:sz w:val="24"/>
        </w:rPr>
        <w:t xml:space="preserve">  项目联系方式（询问）：0571-87967630 </w:t>
      </w:r>
    </w:p>
    <w:p w14:paraId="15267819">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14:paraId="4D41C1B2">
      <w:pPr>
        <w:spacing w:line="360" w:lineRule="auto"/>
        <w:rPr>
          <w:rFonts w:ascii="宋体" w:hAnsi="宋体" w:cs="宋体"/>
          <w:sz w:val="24"/>
        </w:rPr>
      </w:pPr>
      <w:r>
        <w:rPr>
          <w:rFonts w:hint="eastAsia" w:ascii="宋体" w:hAnsi="宋体" w:cs="宋体"/>
          <w:sz w:val="24"/>
        </w:rPr>
        <w:t xml:space="preserve">  质疑联系方式：0571-87967630 </w:t>
      </w:r>
    </w:p>
    <w:p w14:paraId="759EAEFE">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14:paraId="2DAA9F0E">
      <w:pPr>
        <w:spacing w:line="360" w:lineRule="auto"/>
        <w:ind w:firstLine="240" w:firstLineChars="100"/>
        <w:rPr>
          <w:rFonts w:hint="eastAsia" w:ascii="宋体" w:hAnsi="宋体" w:cs="宋体"/>
          <w:sz w:val="24"/>
        </w:rPr>
      </w:pPr>
      <w:r>
        <w:rPr>
          <w:rFonts w:hint="eastAsia" w:ascii="宋体" w:hAnsi="宋体" w:cs="宋体"/>
          <w:sz w:val="24"/>
        </w:rPr>
        <w:t xml:space="preserve">  名    称：浙江省政府采购行政裁决服务中心（杭州市上城区清泰街549号城建综合大楼11楼）</w:t>
      </w:r>
    </w:p>
    <w:p w14:paraId="30F22845">
      <w:pPr>
        <w:spacing w:line="360" w:lineRule="auto"/>
        <w:ind w:firstLine="480" w:firstLineChars="200"/>
        <w:rPr>
          <w:rFonts w:hint="eastAsia" w:ascii="宋体" w:hAnsi="宋体" w:cs="宋体"/>
          <w:sz w:val="24"/>
        </w:rPr>
      </w:pPr>
      <w:r>
        <w:rPr>
          <w:rFonts w:hint="eastAsia" w:ascii="宋体" w:hAnsi="宋体" w:cs="宋体"/>
          <w:sz w:val="24"/>
        </w:rPr>
        <w:t>地    址：杭州市上城区清泰街549号城建综合大楼11楼</w:t>
      </w:r>
    </w:p>
    <w:p w14:paraId="4FC9E032">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w:t>
      </w:r>
    </w:p>
    <w:p w14:paraId="443157E8">
      <w:pPr>
        <w:ind w:firstLine="480" w:firstLineChars="200"/>
        <w:rPr>
          <w:rFonts w:hint="eastAsia" w:ascii="宋体" w:hAnsi="宋体" w:cs="宋体"/>
        </w:rPr>
      </w:pPr>
      <w:r>
        <w:rPr>
          <w:rFonts w:hint="eastAsia" w:ascii="宋体" w:hAnsi="宋体" w:cs="宋体"/>
        </w:rPr>
        <w:t>联 系 人：匡老师</w:t>
      </w:r>
    </w:p>
    <w:p w14:paraId="2FFAAAB3">
      <w:pPr>
        <w:spacing w:line="360" w:lineRule="auto"/>
        <w:ind w:firstLine="480" w:firstLineChars="200"/>
        <w:rPr>
          <w:rFonts w:hint="eastAsia" w:ascii="宋体" w:hAnsi="宋体" w:cs="宋体"/>
          <w:sz w:val="24"/>
        </w:rPr>
      </w:pPr>
      <w:r>
        <w:rPr>
          <w:rFonts w:hint="eastAsia" w:ascii="宋体" w:hAnsi="宋体" w:cs="宋体"/>
        </w:rPr>
        <w:t>监督投诉电话：0571-87807798</w:t>
      </w:r>
    </w:p>
    <w:p w14:paraId="0D346649">
      <w:pPr>
        <w:spacing w:line="360" w:lineRule="auto"/>
        <w:ind w:firstLine="240" w:firstLineChars="100"/>
        <w:rPr>
          <w:rFonts w:hint="eastAsia" w:ascii="宋体" w:hAnsi="宋体" w:cs="宋体"/>
          <w:sz w:val="24"/>
        </w:rPr>
      </w:pPr>
    </w:p>
    <w:p w14:paraId="4A50D5F6">
      <w:pPr>
        <w:spacing w:line="360" w:lineRule="auto"/>
        <w:ind w:firstLine="480" w:firstLineChars="200"/>
        <w:rPr>
          <w:rFonts w:hint="eastAsia" w:ascii="宋体" w:hAnsi="宋体" w:cs="宋体"/>
          <w:sz w:val="24"/>
        </w:rPr>
      </w:pPr>
      <w:r>
        <w:rPr>
          <w:rFonts w:hint="eastAsia" w:ascii="宋体" w:hAnsi="宋体" w:cs="宋体"/>
          <w:sz w:val="24"/>
        </w:rPr>
        <w:t xml:space="preserve">政策咨询：何一平、冯华，0571-87058424、87055741    </w:t>
      </w:r>
    </w:p>
    <w:p w14:paraId="717829C9">
      <w:pPr>
        <w:spacing w:line="360" w:lineRule="auto"/>
        <w:ind w:firstLine="480" w:firstLineChars="200"/>
        <w:rPr>
          <w:rFonts w:hint="eastAsia" w:ascii="宋体" w:hAnsi="宋体" w:cs="宋体"/>
          <w:color w:val="FF0000"/>
          <w:sz w:val="24"/>
        </w:rPr>
      </w:pPr>
      <w:r>
        <w:rPr>
          <w:rFonts w:hint="eastAsia" w:ascii="宋体" w:hAnsi="宋体" w:cs="宋体"/>
          <w:sz w:val="24"/>
        </w:rPr>
        <w:t>预算金额未达100万元的采购项目，由采购人处理采购争议。</w:t>
      </w:r>
    </w:p>
    <w:bookmarkEnd w:id="484"/>
    <w:p w14:paraId="05DC6856">
      <w:pPr>
        <w:pStyle w:val="32"/>
        <w:spacing w:line="360" w:lineRule="auto"/>
        <w:rPr>
          <w:rFonts w:hint="eastAsia" w:hAnsi="宋体" w:cs="宋体"/>
          <w:sz w:val="24"/>
        </w:rPr>
      </w:pPr>
    </w:p>
    <w:p w14:paraId="357D3D3E">
      <w:pPr>
        <w:pStyle w:val="32"/>
        <w:spacing w:line="360" w:lineRule="auto"/>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若对项目采购电子交易系统操作有疑问，可登录政采云（https://www.zcygov.cn/），点击右侧咨询小采，获取采小蜜智能服务管家帮助，或拨打政采云服务热线95763获取热线服务帮助。</w:t>
      </w:r>
    </w:p>
    <w:p w14:paraId="3D005358">
      <w:pPr>
        <w:pStyle w:val="32"/>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14:paraId="035945B9">
      <w:pPr>
        <w:pStyle w:val="32"/>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sz w:val="24"/>
        </w:rPr>
        <w:t xml:space="preserve">                       </w:t>
      </w:r>
    </w:p>
    <w:p w14:paraId="400BEDCB">
      <w:pPr>
        <w:pStyle w:val="3"/>
        <w:bidi w:val="0"/>
      </w:pPr>
      <w:bookmarkStart w:id="15" w:name="_Toc26813"/>
      <w:bookmarkStart w:id="16" w:name="_Toc174"/>
      <w:bookmarkStart w:id="17" w:name="_Toc21996"/>
      <w:r>
        <w:rPr>
          <w:rFonts w:hint="eastAsia"/>
        </w:rPr>
        <w:t>第二部分</w:t>
      </w:r>
      <w:bookmarkEnd w:id="11"/>
      <w:r>
        <w:rPr>
          <w:rFonts w:hint="eastAsia"/>
        </w:rPr>
        <w:t xml:space="preserve"> 投标人须知</w:t>
      </w:r>
      <w:bookmarkEnd w:id="12"/>
      <w:bookmarkEnd w:id="15"/>
      <w:bookmarkEnd w:id="16"/>
      <w:bookmarkEnd w:id="17"/>
    </w:p>
    <w:p w14:paraId="446297E6">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071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7937909">
            <w:pPr>
              <w:pStyle w:val="144"/>
              <w:widowControl w:val="0"/>
              <w:rPr>
                <w:b/>
                <w:bCs/>
              </w:rPr>
            </w:pPr>
            <w:r>
              <w:rPr>
                <w:rFonts w:hint="eastAsia"/>
                <w:b/>
                <w:bCs/>
              </w:rPr>
              <w:t>序号</w:t>
            </w:r>
          </w:p>
        </w:tc>
        <w:tc>
          <w:tcPr>
            <w:tcW w:w="2206" w:type="dxa"/>
            <w:vAlign w:val="center"/>
          </w:tcPr>
          <w:p w14:paraId="4F78E5C0">
            <w:pPr>
              <w:pStyle w:val="144"/>
              <w:widowControl w:val="0"/>
              <w:rPr>
                <w:b/>
                <w:bCs/>
              </w:rPr>
            </w:pPr>
            <w:r>
              <w:rPr>
                <w:rFonts w:hint="eastAsia"/>
                <w:b/>
                <w:bCs/>
              </w:rPr>
              <w:t>事项</w:t>
            </w:r>
          </w:p>
        </w:tc>
        <w:tc>
          <w:tcPr>
            <w:tcW w:w="5901" w:type="dxa"/>
            <w:vAlign w:val="center"/>
          </w:tcPr>
          <w:p w14:paraId="473649F8">
            <w:pPr>
              <w:snapToGrid w:val="0"/>
              <w:spacing w:line="360" w:lineRule="auto"/>
              <w:ind w:firstLine="0" w:firstLineChars="0"/>
              <w:jc w:val="center"/>
              <w:rPr>
                <w:vertAlign w:val="baseline"/>
              </w:rPr>
            </w:pPr>
            <w:r>
              <w:rPr>
                <w:rFonts w:hint="eastAsia" w:ascii="宋体" w:hAnsi="宋体" w:cs="宋体"/>
                <w:b/>
                <w:sz w:val="24"/>
              </w:rPr>
              <w:t>本项目的特别规定</w:t>
            </w:r>
          </w:p>
        </w:tc>
      </w:tr>
      <w:tr w14:paraId="602C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99607F1">
            <w:pPr>
              <w:pStyle w:val="144"/>
              <w:widowControl w:val="0"/>
              <w:rPr>
                <w:b/>
                <w:bCs/>
              </w:rPr>
            </w:pPr>
            <w:r>
              <w:rPr>
                <w:rFonts w:hint="eastAsia"/>
                <w:b/>
                <w:bCs/>
              </w:rPr>
              <w:t>1</w:t>
            </w:r>
          </w:p>
        </w:tc>
        <w:tc>
          <w:tcPr>
            <w:tcW w:w="2206" w:type="dxa"/>
            <w:vAlign w:val="center"/>
          </w:tcPr>
          <w:p w14:paraId="20039CC4">
            <w:pPr>
              <w:pStyle w:val="144"/>
              <w:widowControl w:val="0"/>
              <w:rPr>
                <w:b/>
                <w:bCs/>
              </w:rPr>
            </w:pPr>
            <w:r>
              <w:rPr>
                <w:rFonts w:hint="eastAsia"/>
                <w:b/>
                <w:bCs/>
              </w:rPr>
              <w:t>项目属性</w:t>
            </w:r>
          </w:p>
        </w:tc>
        <w:tc>
          <w:tcPr>
            <w:tcW w:w="5901" w:type="dxa"/>
            <w:vAlign w:val="center"/>
          </w:tcPr>
          <w:p w14:paraId="5C54B69D">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14:paraId="5C7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76D7844">
            <w:pPr>
              <w:pStyle w:val="144"/>
              <w:widowControl w:val="0"/>
              <w:rPr>
                <w:b/>
                <w:bCs/>
              </w:rPr>
            </w:pPr>
            <w:r>
              <w:rPr>
                <w:rFonts w:hint="eastAsia"/>
                <w:b/>
                <w:bCs/>
                <w:lang w:val="en-US" w:eastAsia="zh-CN"/>
              </w:rPr>
              <w:t>2</w:t>
            </w:r>
          </w:p>
        </w:tc>
        <w:tc>
          <w:tcPr>
            <w:tcW w:w="2206" w:type="dxa"/>
            <w:vAlign w:val="center"/>
          </w:tcPr>
          <w:p w14:paraId="7003BE50">
            <w:pPr>
              <w:pStyle w:val="144"/>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14:paraId="0C817FBD">
            <w:pPr>
              <w:pStyle w:val="144"/>
              <w:widowControl w:val="0"/>
              <w:ind w:firstLine="480" w:firstLineChars="200"/>
              <w:jc w:val="left"/>
              <w:rPr>
                <w:rFonts w:hint="eastAsia" w:ascii="Times New Roman" w:hAnsi="Times New Roman" w:eastAsia="宋体"/>
                <w:b/>
                <w:bCs/>
                <w:vertAlign w:val="baseline"/>
              </w:rPr>
            </w:pPr>
            <w:r>
              <w:rPr>
                <w:rFonts w:hint="eastAsia" w:ascii="宋体" w:hAnsi="宋体" w:eastAsia="宋体" w:cs="宋体"/>
                <w:b w:val="0"/>
                <w:bCs w:val="0"/>
                <w:color w:val="auto"/>
                <w:kern w:val="2"/>
                <w:sz w:val="24"/>
                <w:szCs w:val="24"/>
                <w:highlight w:val="none"/>
                <w:lang w:eastAsia="zh-CN"/>
              </w:rPr>
              <w:t>采购</w:t>
            </w:r>
            <w:r>
              <w:rPr>
                <w:rFonts w:hint="eastAsia" w:ascii="宋体" w:hAnsi="宋体" w:eastAsia="宋体" w:cs="宋体"/>
                <w:b w:val="0"/>
                <w:bCs w:val="0"/>
                <w:color w:val="auto"/>
                <w:kern w:val="2"/>
                <w:sz w:val="24"/>
                <w:szCs w:val="24"/>
                <w:highlight w:val="none"/>
              </w:rPr>
              <w:t>标的：</w:t>
            </w:r>
            <w:r>
              <w:rPr>
                <w:rFonts w:hint="eastAsia"/>
                <w:color w:val="auto"/>
                <w:highlight w:val="none"/>
                <w:lang w:eastAsia="zh-CN"/>
              </w:rPr>
              <w:t>浙江康复医院信息机房建设项目</w:t>
            </w:r>
            <w:r>
              <w:rPr>
                <w:rFonts w:hint="eastAsia" w:ascii="宋体" w:hAnsi="宋体" w:eastAsia="宋体" w:cs="宋体"/>
                <w:b w:val="0"/>
                <w:bCs w:val="0"/>
                <w:color w:val="auto"/>
                <w:kern w:val="2"/>
                <w:sz w:val="24"/>
                <w:szCs w:val="24"/>
                <w:highlight w:val="none"/>
              </w:rPr>
              <w:t>，属于</w:t>
            </w:r>
            <w:r>
              <w:rPr>
                <w:rFonts w:hint="eastAsia" w:ascii="宋体" w:hAnsi="宋体" w:eastAsia="宋体" w:cs="宋体"/>
                <w:b w:val="0"/>
                <w:bCs w:val="0"/>
                <w:color w:val="auto"/>
                <w:kern w:val="2"/>
                <w:sz w:val="24"/>
                <w:szCs w:val="24"/>
                <w:highlight w:val="none"/>
                <w:u w:val="none"/>
              </w:rPr>
              <w:t>软件和信息技术服务业</w:t>
            </w:r>
            <w:r>
              <w:rPr>
                <w:rFonts w:hint="eastAsia" w:ascii="宋体" w:hAnsi="宋体" w:cs="宋体"/>
                <w:b w:val="0"/>
                <w:bCs w:val="0"/>
                <w:color w:val="auto"/>
                <w:kern w:val="2"/>
                <w:sz w:val="24"/>
                <w:szCs w:val="24"/>
                <w:highlight w:val="none"/>
                <w:u w:val="none"/>
                <w:lang w:eastAsia="zh-CN"/>
              </w:rPr>
              <w:t>行业</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根据</w:t>
            </w:r>
            <w:r>
              <w:rPr>
                <w:rFonts w:hint="eastAsia" w:ascii="宋体" w:hAnsi="宋体" w:eastAsia="宋体" w:cs="宋体"/>
                <w:b w:val="0"/>
                <w:bCs w:val="0"/>
                <w:color w:val="auto"/>
                <w:kern w:val="2"/>
                <w:sz w:val="24"/>
                <w:szCs w:val="24"/>
                <w:highlight w:val="none"/>
                <w:u w:val="none"/>
                <w:lang w:eastAsia="zh-CN"/>
              </w:rPr>
              <w:t>《关于印发中小企业划型标准规定的通知》（工信部联企业〔2011〕300）第</w:t>
            </w:r>
            <w:r>
              <w:rPr>
                <w:rFonts w:hint="eastAsia" w:ascii="宋体" w:hAnsi="宋体" w:eastAsia="宋体" w:cs="宋体"/>
                <w:b w:val="0"/>
                <w:bCs w:val="0"/>
                <w:color w:val="auto"/>
                <w:kern w:val="2"/>
                <w:sz w:val="24"/>
                <w:szCs w:val="24"/>
                <w:highlight w:val="none"/>
                <w:u w:val="none"/>
                <w:lang w:val="en-US" w:eastAsia="zh-CN"/>
              </w:rPr>
              <w:t>四条第</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二</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项规定</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rPr>
              <w:t>软件和信息技术服务业</w:t>
            </w:r>
            <w:r>
              <w:rPr>
                <w:rFonts w:hint="eastAsia" w:ascii="宋体" w:hAnsi="宋体" w:cs="宋体"/>
                <w:b w:val="0"/>
                <w:bCs w:val="0"/>
                <w:color w:val="auto"/>
                <w:kern w:val="2"/>
                <w:sz w:val="24"/>
                <w:szCs w:val="24"/>
                <w:highlight w:val="none"/>
                <w:u w:val="none"/>
                <w:lang w:eastAsia="zh-CN"/>
              </w:rPr>
              <w:t>行业</w:t>
            </w:r>
            <w:r>
              <w:rPr>
                <w:rFonts w:hint="eastAsia" w:ascii="宋体" w:hAnsi="宋体" w:eastAsia="宋体" w:cs="宋体"/>
                <w:b w:val="0"/>
                <w:bCs w:val="0"/>
                <w:color w:val="auto"/>
                <w:kern w:val="2"/>
                <w:sz w:val="24"/>
                <w:szCs w:val="24"/>
                <w:highlight w:val="none"/>
                <w:u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color w:val="auto"/>
                <w:kern w:val="2"/>
                <w:sz w:val="24"/>
                <w:szCs w:val="24"/>
                <w:highlight w:val="none"/>
                <w:u w:val="none"/>
                <w:lang w:val="en-US" w:eastAsia="zh-CN"/>
              </w:rPr>
              <w:t>。</w:t>
            </w:r>
          </w:p>
        </w:tc>
      </w:tr>
      <w:tr w14:paraId="1D0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B539500">
            <w:pPr>
              <w:pStyle w:val="144"/>
              <w:widowControl w:val="0"/>
              <w:rPr>
                <w:rFonts w:hint="eastAsia"/>
                <w:b/>
                <w:bCs/>
                <w:lang w:eastAsia="zh-CN"/>
              </w:rPr>
            </w:pPr>
            <w:r>
              <w:rPr>
                <w:rFonts w:hint="eastAsia"/>
                <w:b/>
                <w:bCs/>
                <w:lang w:val="en-US" w:eastAsia="zh-CN"/>
              </w:rPr>
              <w:t>3</w:t>
            </w:r>
          </w:p>
        </w:tc>
        <w:tc>
          <w:tcPr>
            <w:tcW w:w="2206" w:type="dxa"/>
            <w:vAlign w:val="center"/>
          </w:tcPr>
          <w:p w14:paraId="07895BF4">
            <w:pPr>
              <w:pStyle w:val="144"/>
              <w:widowControl w:val="0"/>
              <w:rPr>
                <w:b/>
                <w:bCs/>
              </w:rPr>
            </w:pPr>
            <w:r>
              <w:rPr>
                <w:rFonts w:hint="eastAsia"/>
                <w:b/>
                <w:bCs/>
              </w:rPr>
              <w:t>是否允许采购进口产品</w:t>
            </w:r>
          </w:p>
        </w:tc>
        <w:tc>
          <w:tcPr>
            <w:tcW w:w="5901" w:type="dxa"/>
            <w:vAlign w:val="center"/>
          </w:tcPr>
          <w:p w14:paraId="2D827FA5">
            <w:pPr>
              <w:spacing w:line="360" w:lineRule="auto"/>
              <w:jc w:val="lef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07B0F63">
            <w:pPr>
              <w:spacing w:line="360" w:lineRule="auto"/>
              <w:jc w:val="left"/>
              <w:rPr>
                <w:vertAlign w:val="baseline"/>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7D4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F031D4">
            <w:pPr>
              <w:pStyle w:val="144"/>
              <w:widowControl w:val="0"/>
              <w:rPr>
                <w:rFonts w:hint="eastAsia"/>
                <w:b/>
                <w:bCs/>
                <w:lang w:eastAsia="zh-CN"/>
              </w:rPr>
            </w:pPr>
            <w:r>
              <w:rPr>
                <w:rFonts w:hint="eastAsia"/>
                <w:b/>
                <w:bCs/>
                <w:lang w:val="en-US" w:eastAsia="zh-CN"/>
              </w:rPr>
              <w:t>4</w:t>
            </w:r>
          </w:p>
        </w:tc>
        <w:tc>
          <w:tcPr>
            <w:tcW w:w="2206" w:type="dxa"/>
            <w:vAlign w:val="center"/>
          </w:tcPr>
          <w:p w14:paraId="4DD7D4B9">
            <w:pPr>
              <w:pStyle w:val="144"/>
              <w:widowControl w:val="0"/>
              <w:rPr>
                <w:b/>
                <w:bCs/>
              </w:rPr>
            </w:pPr>
            <w:r>
              <w:rPr>
                <w:rFonts w:hint="eastAsia"/>
                <w:b/>
                <w:bCs/>
              </w:rPr>
              <w:t>是否允许转包与分包</w:t>
            </w:r>
          </w:p>
        </w:tc>
        <w:tc>
          <w:tcPr>
            <w:tcW w:w="5901" w:type="dxa"/>
            <w:vAlign w:val="center"/>
          </w:tcPr>
          <w:p w14:paraId="2313B547">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446CEA6B">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7286927"/>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7C1FB825">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5111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3E88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4D14F8">
            <w:pPr>
              <w:pStyle w:val="144"/>
              <w:widowControl w:val="0"/>
              <w:rPr>
                <w:rFonts w:hint="eastAsia"/>
                <w:b/>
                <w:bCs/>
                <w:lang w:val="en-US" w:eastAsia="zh-CN"/>
              </w:rPr>
            </w:pPr>
            <w:r>
              <w:rPr>
                <w:rFonts w:hint="eastAsia"/>
                <w:b/>
                <w:bCs/>
                <w:lang w:val="en-US" w:eastAsia="zh-CN"/>
              </w:rPr>
              <w:t>5</w:t>
            </w:r>
          </w:p>
        </w:tc>
        <w:tc>
          <w:tcPr>
            <w:tcW w:w="2206" w:type="dxa"/>
            <w:vAlign w:val="center"/>
          </w:tcPr>
          <w:p w14:paraId="5F61B0D1">
            <w:pPr>
              <w:pStyle w:val="144"/>
              <w:widowControl w:val="0"/>
              <w:rPr>
                <w:rFonts w:hint="eastAsia"/>
                <w:b/>
                <w:bCs/>
              </w:rPr>
            </w:pPr>
            <w:r>
              <w:rPr>
                <w:rFonts w:hint="eastAsia"/>
                <w:b/>
                <w:bCs/>
              </w:rPr>
              <w:t>开标前答疑会或现场考察</w:t>
            </w:r>
          </w:p>
        </w:tc>
        <w:tc>
          <w:tcPr>
            <w:tcW w:w="5901" w:type="dxa"/>
            <w:vAlign w:val="center"/>
          </w:tcPr>
          <w:p w14:paraId="5893A644">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095811E">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p w14:paraId="2E0E7574">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1474745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b w:val="0"/>
                <w:bCs w:val="0"/>
                <w:kern w:val="0"/>
                <w:sz w:val="24"/>
                <w:szCs w:val="24"/>
                <w:highlight w:val="none"/>
                <w:lang w:val="en-US" w:eastAsia="zh-CN"/>
              </w:rPr>
              <w:t>C不统一组织，供应商在获取采购文件后，自行至项目现场考察。地点：</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，联系人：</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，联系方式：</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w:t>
            </w:r>
          </w:p>
        </w:tc>
      </w:tr>
      <w:tr w14:paraId="2BA2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14E6CB">
            <w:pPr>
              <w:pStyle w:val="144"/>
              <w:widowControl w:val="0"/>
              <w:rPr>
                <w:rFonts w:hint="eastAsia"/>
                <w:b/>
                <w:bCs/>
                <w:lang w:eastAsia="zh-CN"/>
              </w:rPr>
            </w:pPr>
            <w:r>
              <w:rPr>
                <w:rFonts w:hint="eastAsia"/>
                <w:b/>
                <w:bCs/>
                <w:lang w:val="en-US" w:eastAsia="zh-CN"/>
              </w:rPr>
              <w:t>6</w:t>
            </w:r>
          </w:p>
        </w:tc>
        <w:tc>
          <w:tcPr>
            <w:tcW w:w="2206" w:type="dxa"/>
            <w:vAlign w:val="center"/>
          </w:tcPr>
          <w:p w14:paraId="046F9B43">
            <w:pPr>
              <w:pStyle w:val="144"/>
              <w:widowControl w:val="0"/>
              <w:rPr>
                <w:b/>
                <w:bCs/>
              </w:rPr>
            </w:pPr>
            <w:r>
              <w:rPr>
                <w:rFonts w:hint="eastAsia"/>
                <w:b/>
                <w:bCs/>
              </w:rPr>
              <w:t>样品提供</w:t>
            </w:r>
          </w:p>
        </w:tc>
        <w:tc>
          <w:tcPr>
            <w:tcW w:w="5901" w:type="dxa"/>
            <w:vAlign w:val="center"/>
          </w:tcPr>
          <w:p w14:paraId="53D04172">
            <w:pPr>
              <w:spacing w:line="360" w:lineRule="auto"/>
              <w:jc w:val="left"/>
              <w:rPr>
                <w:rFonts w:hint="eastAsia" w:ascii="宋体" w:hAnsi="宋体" w:cs="宋体"/>
                <w:color w:val="auto"/>
                <w:kern w:val="0"/>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39CDBC1F">
            <w:pPr>
              <w:spacing w:line="360" w:lineRule="auto"/>
              <w:ind w:firstLine="480" w:firstLineChars="200"/>
              <w:jc w:val="left"/>
              <w:rPr>
                <w:rFonts w:hint="eastAsia" w:ascii="宋体" w:hAnsi="宋体" w:eastAsia="宋体" w:cs="宋体"/>
                <w:color w:val="auto"/>
                <w:sz w:val="24"/>
                <w:lang w:eastAsia="zh-CN"/>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r>
              <w:rPr>
                <w:rFonts w:hint="eastAsia" w:ascii="宋体" w:hAnsi="宋体" w:cs="宋体"/>
                <w:b/>
                <w:bCs/>
                <w:color w:val="auto"/>
              </w:rPr>
              <w:t>。</w:t>
            </w:r>
          </w:p>
        </w:tc>
      </w:tr>
      <w:tr w14:paraId="60B2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EA54CD9">
            <w:pPr>
              <w:pStyle w:val="144"/>
              <w:widowControl w:val="0"/>
              <w:rPr>
                <w:rFonts w:hint="default"/>
                <w:b/>
                <w:bCs/>
                <w:lang w:val="en-US" w:eastAsia="zh-CN"/>
              </w:rPr>
            </w:pPr>
            <w:r>
              <w:rPr>
                <w:rFonts w:hint="eastAsia"/>
                <w:b/>
                <w:bCs/>
                <w:lang w:val="en-US" w:eastAsia="zh-CN"/>
              </w:rPr>
              <w:t>7</w:t>
            </w:r>
          </w:p>
        </w:tc>
        <w:tc>
          <w:tcPr>
            <w:tcW w:w="2206" w:type="dxa"/>
            <w:vAlign w:val="center"/>
          </w:tcPr>
          <w:p w14:paraId="5B07C732">
            <w:pPr>
              <w:pStyle w:val="144"/>
              <w:widowControl w:val="0"/>
              <w:rPr>
                <w:b/>
                <w:bCs/>
              </w:rPr>
            </w:pPr>
            <w:r>
              <w:rPr>
                <w:rFonts w:hint="eastAsia"/>
                <w:b/>
                <w:bCs/>
              </w:rPr>
              <w:t>方案讲解演示</w:t>
            </w:r>
          </w:p>
        </w:tc>
        <w:tc>
          <w:tcPr>
            <w:tcW w:w="5901" w:type="dxa"/>
            <w:vAlign w:val="center"/>
          </w:tcPr>
          <w:p w14:paraId="75180FB1">
            <w:pPr>
              <w:spacing w:line="360" w:lineRule="auto"/>
              <w:jc w:val="lef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F4A4A61">
            <w:pPr>
              <w:snapToGrid w:val="0"/>
              <w:spacing w:line="360" w:lineRule="auto"/>
              <w:ind w:firstLine="480" w:firstLineChars="200"/>
              <w:jc w:val="left"/>
              <w:rPr>
                <w:vertAlign w:val="baseline"/>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color w:val="auto"/>
                <w:kern w:val="0"/>
                <w:sz w:val="24"/>
              </w:rPr>
              <w:t>。</w:t>
            </w:r>
          </w:p>
        </w:tc>
      </w:tr>
      <w:tr w14:paraId="2679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E87FC6C">
            <w:pPr>
              <w:pStyle w:val="144"/>
              <w:widowControl w:val="0"/>
              <w:rPr>
                <w:rFonts w:hint="eastAsia"/>
                <w:b/>
                <w:bCs/>
                <w:lang w:eastAsia="zh-CN"/>
              </w:rPr>
            </w:pPr>
            <w:r>
              <w:rPr>
                <w:rFonts w:hint="eastAsia"/>
                <w:b/>
                <w:bCs/>
                <w:lang w:val="en-US" w:eastAsia="zh-CN"/>
              </w:rPr>
              <w:t>8</w:t>
            </w:r>
          </w:p>
        </w:tc>
        <w:tc>
          <w:tcPr>
            <w:tcW w:w="2206" w:type="dxa"/>
            <w:vMerge w:val="restart"/>
            <w:vAlign w:val="center"/>
          </w:tcPr>
          <w:p w14:paraId="20660538">
            <w:pPr>
              <w:pStyle w:val="144"/>
              <w:widowControl w:val="0"/>
              <w:rPr>
                <w:b/>
                <w:bCs/>
              </w:rPr>
            </w:pPr>
            <w:r>
              <w:rPr>
                <w:rFonts w:hint="eastAsia"/>
                <w:b/>
                <w:bCs/>
              </w:rPr>
              <w:t>投标人应当提供的资格、资信证明文件</w:t>
            </w:r>
          </w:p>
        </w:tc>
        <w:tc>
          <w:tcPr>
            <w:tcW w:w="5901" w:type="dxa"/>
            <w:vAlign w:val="center"/>
          </w:tcPr>
          <w:p w14:paraId="508F391D">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14:paraId="115C64E9">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14:paraId="68B6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051F197">
            <w:pPr>
              <w:pStyle w:val="144"/>
              <w:widowControl w:val="0"/>
              <w:rPr>
                <w:b/>
                <w:bCs/>
              </w:rPr>
            </w:pPr>
          </w:p>
        </w:tc>
        <w:tc>
          <w:tcPr>
            <w:tcW w:w="2206" w:type="dxa"/>
            <w:vMerge w:val="continue"/>
            <w:vAlign w:val="center"/>
          </w:tcPr>
          <w:p w14:paraId="497FC924">
            <w:pPr>
              <w:pStyle w:val="144"/>
              <w:widowControl w:val="0"/>
              <w:rPr>
                <w:b/>
                <w:bCs/>
              </w:rPr>
            </w:pPr>
          </w:p>
        </w:tc>
        <w:tc>
          <w:tcPr>
            <w:tcW w:w="5901" w:type="dxa"/>
            <w:vAlign w:val="center"/>
          </w:tcPr>
          <w:p w14:paraId="54F4C227">
            <w:pPr>
              <w:spacing w:line="360" w:lineRule="auto"/>
              <w:rPr>
                <w:vertAlign w:val="baseline"/>
              </w:rPr>
            </w:pPr>
            <w:r>
              <w:rPr>
                <w:rFonts w:hint="eastAsia" w:ascii="宋体" w:hAnsi="宋体" w:cs="宋体"/>
                <w:sz w:val="24"/>
              </w:rPr>
              <w:t>（2）资信证明文件：根据招标文件第四部分评标标准提供。</w:t>
            </w:r>
          </w:p>
        </w:tc>
      </w:tr>
      <w:tr w14:paraId="0B25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AF20E1E">
            <w:pPr>
              <w:pStyle w:val="144"/>
              <w:widowControl w:val="0"/>
              <w:rPr>
                <w:rFonts w:hint="default"/>
                <w:b/>
                <w:bCs/>
                <w:lang w:val="en-US" w:eastAsia="zh-CN"/>
              </w:rPr>
            </w:pPr>
            <w:r>
              <w:rPr>
                <w:rFonts w:hint="eastAsia"/>
                <w:b/>
                <w:bCs/>
                <w:lang w:val="en-US" w:eastAsia="zh-CN"/>
              </w:rPr>
              <w:t>9</w:t>
            </w:r>
          </w:p>
        </w:tc>
        <w:tc>
          <w:tcPr>
            <w:tcW w:w="2206" w:type="dxa"/>
            <w:vAlign w:val="center"/>
          </w:tcPr>
          <w:p w14:paraId="02436FBD">
            <w:pPr>
              <w:pStyle w:val="144"/>
              <w:widowControl w:val="0"/>
              <w:rPr>
                <w:b/>
                <w:bCs/>
              </w:rPr>
            </w:pPr>
            <w:r>
              <w:rPr>
                <w:rFonts w:hint="eastAsia"/>
                <w:b/>
                <w:bCs/>
              </w:rPr>
              <w:t>节能产品、环境标志产品</w:t>
            </w:r>
          </w:p>
        </w:tc>
        <w:tc>
          <w:tcPr>
            <w:tcW w:w="5901" w:type="dxa"/>
            <w:vAlign w:val="center"/>
          </w:tcPr>
          <w:p w14:paraId="1E06A793">
            <w:pPr>
              <w:snapToGrid w:val="0"/>
              <w:spacing w:line="360" w:lineRule="auto"/>
              <w:jc w:val="left"/>
              <w:rPr>
                <w:vertAlign w:val="baseline"/>
              </w:rPr>
            </w:pPr>
            <w:r>
              <w:rPr>
                <w:rFonts w:hint="eastAsia"/>
                <w:vertAlign w:val="baseline"/>
              </w:rPr>
              <w:t>本项目不适用</w:t>
            </w:r>
          </w:p>
        </w:tc>
      </w:tr>
      <w:tr w14:paraId="77CC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4675A1B">
            <w:pPr>
              <w:pStyle w:val="144"/>
              <w:widowControl w:val="0"/>
              <w:rPr>
                <w:rFonts w:hint="default"/>
                <w:b/>
                <w:bCs/>
                <w:lang w:val="en-US" w:eastAsia="zh-CN"/>
              </w:rPr>
            </w:pPr>
            <w:r>
              <w:rPr>
                <w:rFonts w:hint="eastAsia"/>
                <w:b/>
                <w:bCs/>
                <w:lang w:val="en-US" w:eastAsia="zh-CN"/>
              </w:rPr>
              <w:t>10</w:t>
            </w:r>
          </w:p>
        </w:tc>
        <w:tc>
          <w:tcPr>
            <w:tcW w:w="2206" w:type="dxa"/>
            <w:vAlign w:val="center"/>
          </w:tcPr>
          <w:p w14:paraId="3A7672D3">
            <w:pPr>
              <w:pStyle w:val="144"/>
              <w:widowControl w:val="0"/>
              <w:rPr>
                <w:b/>
                <w:bCs/>
              </w:rPr>
            </w:pPr>
            <w:r>
              <w:rPr>
                <w:rFonts w:hint="eastAsia"/>
                <w:b/>
                <w:bCs/>
              </w:rPr>
              <w:t>报价要求</w:t>
            </w:r>
          </w:p>
        </w:tc>
        <w:tc>
          <w:tcPr>
            <w:tcW w:w="5901" w:type="dxa"/>
            <w:vAlign w:val="center"/>
          </w:tcPr>
          <w:p w14:paraId="3D9475B1">
            <w:pPr>
              <w:spacing w:line="360" w:lineRule="auto"/>
              <w:ind w:left="0" w:leftChars="0" w:firstLineChars="20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tc>
      </w:tr>
      <w:tr w14:paraId="5E57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BBF3601">
            <w:pPr>
              <w:pStyle w:val="144"/>
              <w:widowControl w:val="0"/>
              <w:rPr>
                <w:rFonts w:hint="default"/>
                <w:b/>
                <w:bCs/>
                <w:lang w:val="en-US" w:eastAsia="zh-CN"/>
              </w:rPr>
            </w:pPr>
            <w:r>
              <w:rPr>
                <w:rFonts w:hint="eastAsia"/>
                <w:b/>
                <w:bCs/>
                <w:lang w:val="en-US" w:eastAsia="zh-CN"/>
              </w:rPr>
              <w:t>11</w:t>
            </w:r>
          </w:p>
        </w:tc>
        <w:tc>
          <w:tcPr>
            <w:tcW w:w="2206" w:type="dxa"/>
            <w:vAlign w:val="center"/>
          </w:tcPr>
          <w:p w14:paraId="74DE75A2">
            <w:pPr>
              <w:pStyle w:val="144"/>
              <w:widowControl w:val="0"/>
              <w:rPr>
                <w:b/>
                <w:bCs/>
              </w:rPr>
            </w:pPr>
            <w:r>
              <w:rPr>
                <w:rFonts w:hint="eastAsia"/>
                <w:b/>
                <w:bCs/>
              </w:rPr>
              <w:t>中小企业信用融资</w:t>
            </w:r>
          </w:p>
        </w:tc>
        <w:tc>
          <w:tcPr>
            <w:tcW w:w="5901" w:type="dxa"/>
            <w:vAlign w:val="center"/>
          </w:tcPr>
          <w:p w14:paraId="1F28D7A2">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83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8F05B92">
            <w:pPr>
              <w:pStyle w:val="144"/>
              <w:widowControl w:val="0"/>
              <w:rPr>
                <w:rFonts w:hint="default"/>
                <w:b/>
                <w:bCs/>
                <w:lang w:val="en-US" w:eastAsia="zh-CN"/>
              </w:rPr>
            </w:pPr>
            <w:r>
              <w:rPr>
                <w:rFonts w:hint="eastAsia"/>
                <w:b/>
                <w:bCs/>
                <w:lang w:val="en-US" w:eastAsia="zh-CN"/>
              </w:rPr>
              <w:t>12</w:t>
            </w:r>
          </w:p>
        </w:tc>
        <w:tc>
          <w:tcPr>
            <w:tcW w:w="2206" w:type="dxa"/>
            <w:vAlign w:val="center"/>
          </w:tcPr>
          <w:p w14:paraId="3D9248A5">
            <w:pPr>
              <w:pStyle w:val="144"/>
              <w:widowControl w:val="0"/>
              <w:rPr>
                <w:b/>
                <w:bCs/>
              </w:rPr>
            </w:pPr>
            <w:r>
              <w:rPr>
                <w:rFonts w:hint="eastAsia"/>
                <w:b/>
                <w:bCs/>
              </w:rPr>
              <w:t>备份投标文件送达地点和签收人员</w:t>
            </w:r>
          </w:p>
        </w:tc>
        <w:tc>
          <w:tcPr>
            <w:tcW w:w="5901" w:type="dxa"/>
            <w:vAlign w:val="center"/>
          </w:tcPr>
          <w:p w14:paraId="2F6273A8">
            <w:pPr>
              <w:pStyle w:val="32"/>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7"/>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eastAsia="zh-CN"/>
              </w:rPr>
              <w:t>徐小玲</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4F81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5D6FF5AB">
            <w:pPr>
              <w:pStyle w:val="144"/>
              <w:widowControl w:val="0"/>
              <w:rPr>
                <w:rFonts w:hint="default"/>
                <w:b/>
                <w:bCs/>
                <w:lang w:val="en-US" w:eastAsia="zh-CN"/>
              </w:rPr>
            </w:pPr>
            <w:r>
              <w:rPr>
                <w:rFonts w:hint="eastAsia"/>
                <w:b/>
                <w:bCs/>
                <w:lang w:val="en-US" w:eastAsia="zh-CN"/>
              </w:rPr>
              <w:t>13</w:t>
            </w:r>
          </w:p>
        </w:tc>
        <w:tc>
          <w:tcPr>
            <w:tcW w:w="2206" w:type="dxa"/>
            <w:vMerge w:val="restart"/>
            <w:vAlign w:val="center"/>
          </w:tcPr>
          <w:p w14:paraId="77F36EA9">
            <w:pPr>
              <w:pStyle w:val="144"/>
              <w:widowControl w:val="0"/>
              <w:rPr>
                <w:b/>
                <w:bCs/>
              </w:rPr>
            </w:pPr>
            <w:r>
              <w:rPr>
                <w:rFonts w:hint="eastAsia"/>
                <w:b/>
                <w:bCs/>
              </w:rPr>
              <w:t>特别说明</w:t>
            </w:r>
          </w:p>
        </w:tc>
        <w:tc>
          <w:tcPr>
            <w:tcW w:w="5901" w:type="dxa"/>
            <w:vAlign w:val="center"/>
          </w:tcPr>
          <w:p w14:paraId="7EB70622">
            <w:pPr>
              <w:bidi w:val="0"/>
              <w:rPr>
                <w:color w:val="auto"/>
                <w:highlight w:val="none"/>
                <w:vertAlign w:val="baseline"/>
              </w:rPr>
            </w:pPr>
            <w:r>
              <w:rPr>
                <w:rFonts w:hint="eastAsia" w:ascii="Times New Roman" w:hAnsi="Times New Roman"/>
                <w:b w:val="0"/>
                <w:bCs w:val="0"/>
                <w:color w:val="auto"/>
              </w:rPr>
              <w:t>联合体中有同类资质的供应商按照联合体分工承担相同工作的，应当按照资质等级较低的供应商确定资质等级。</w:t>
            </w:r>
          </w:p>
        </w:tc>
      </w:tr>
      <w:tr w14:paraId="4BC4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4046E7C5">
            <w:pPr>
              <w:pStyle w:val="144"/>
              <w:widowControl w:val="0"/>
              <w:rPr>
                <w:rFonts w:hint="eastAsia"/>
                <w:b/>
                <w:bCs/>
                <w:lang w:val="en-US" w:eastAsia="zh-CN"/>
              </w:rPr>
            </w:pPr>
          </w:p>
        </w:tc>
        <w:tc>
          <w:tcPr>
            <w:tcW w:w="2206" w:type="dxa"/>
            <w:vMerge w:val="continue"/>
            <w:vAlign w:val="center"/>
          </w:tcPr>
          <w:p w14:paraId="3E1DA824">
            <w:pPr>
              <w:pStyle w:val="144"/>
              <w:widowControl w:val="0"/>
              <w:rPr>
                <w:rFonts w:hint="eastAsia"/>
                <w:b/>
                <w:bCs/>
              </w:rPr>
            </w:pPr>
          </w:p>
        </w:tc>
        <w:tc>
          <w:tcPr>
            <w:tcW w:w="5901" w:type="dxa"/>
            <w:vAlign w:val="center"/>
          </w:tcPr>
          <w:p w14:paraId="693C4A63">
            <w:pPr>
              <w:bidi w:val="0"/>
              <w:rPr>
                <w:rFonts w:hint="eastAsia" w:ascii="宋体" w:hAnsi="宋体" w:cs="宋体"/>
                <w:snapToGrid w:val="0"/>
                <w:kern w:val="28"/>
                <w:sz w:val="24"/>
                <w:highlight w:val="none"/>
              </w:rPr>
            </w:pPr>
            <w:r>
              <w:rPr>
                <w:rFonts w:hint="eastAsia" w:ascii="宋体" w:hAnsi="宋体"/>
              </w:rPr>
              <w:t>以联合体形式投标的，联合体各方的业绩证明材料均认可</w:t>
            </w:r>
            <w:r>
              <w:rPr>
                <w:rFonts w:hint="eastAsia"/>
                <w:color w:val="auto"/>
                <w:highlight w:val="none"/>
                <w:lang w:eastAsia="zh-CN"/>
              </w:rPr>
              <w:t>。</w:t>
            </w:r>
          </w:p>
        </w:tc>
      </w:tr>
      <w:tr w14:paraId="2A3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31F209F4">
            <w:pPr>
              <w:pStyle w:val="144"/>
              <w:widowControl w:val="0"/>
              <w:rPr>
                <w:b/>
                <w:bCs/>
              </w:rPr>
            </w:pPr>
          </w:p>
        </w:tc>
        <w:tc>
          <w:tcPr>
            <w:tcW w:w="2206" w:type="dxa"/>
            <w:vMerge w:val="continue"/>
            <w:vAlign w:val="center"/>
          </w:tcPr>
          <w:p w14:paraId="4B5D3D51">
            <w:pPr>
              <w:pStyle w:val="144"/>
              <w:widowControl w:val="0"/>
              <w:rPr>
                <w:b/>
                <w:bCs/>
              </w:rPr>
            </w:pPr>
          </w:p>
        </w:tc>
        <w:tc>
          <w:tcPr>
            <w:tcW w:w="5901" w:type="dxa"/>
            <w:vAlign w:val="center"/>
          </w:tcPr>
          <w:p w14:paraId="6BD1FA3A">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D7B4900">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BEA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500813C0">
            <w:pPr>
              <w:pStyle w:val="144"/>
              <w:widowControl w:val="0"/>
              <w:rPr>
                <w:b/>
                <w:bCs/>
              </w:rPr>
            </w:pPr>
            <w:bookmarkStart w:id="20" w:name="第三部分"/>
            <w:bookmarkStart w:id="21" w:name="_Toc164416483"/>
          </w:p>
        </w:tc>
        <w:tc>
          <w:tcPr>
            <w:tcW w:w="2206" w:type="dxa"/>
            <w:vMerge w:val="continue"/>
            <w:vAlign w:val="center"/>
          </w:tcPr>
          <w:p w14:paraId="344956D8">
            <w:pPr>
              <w:pStyle w:val="144"/>
              <w:widowControl w:val="0"/>
              <w:rPr>
                <w:b/>
                <w:bCs/>
              </w:rPr>
            </w:pPr>
          </w:p>
        </w:tc>
        <w:tc>
          <w:tcPr>
            <w:tcW w:w="5901" w:type="dxa"/>
            <w:vAlign w:val="center"/>
          </w:tcPr>
          <w:p w14:paraId="405FFD1E">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2594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675184">
            <w:pPr>
              <w:pStyle w:val="144"/>
              <w:widowControl w:val="0"/>
              <w:rPr>
                <w:rFonts w:hint="default"/>
                <w:b/>
                <w:bCs/>
                <w:lang w:val="en-US" w:eastAsia="zh-CN"/>
              </w:rPr>
            </w:pPr>
            <w:r>
              <w:rPr>
                <w:rFonts w:hint="eastAsia"/>
                <w:b/>
                <w:bCs/>
                <w:lang w:val="en-US" w:eastAsia="zh-CN"/>
              </w:rPr>
              <w:t>14</w:t>
            </w:r>
          </w:p>
        </w:tc>
        <w:tc>
          <w:tcPr>
            <w:tcW w:w="2206" w:type="dxa"/>
            <w:vAlign w:val="center"/>
          </w:tcPr>
          <w:p w14:paraId="2415E9FD">
            <w:pPr>
              <w:pStyle w:val="144"/>
              <w:widowControl w:val="0"/>
              <w:rPr>
                <w:b/>
                <w:bCs/>
              </w:rPr>
            </w:pPr>
            <w:r>
              <w:rPr>
                <w:rFonts w:hint="eastAsia"/>
                <w:b/>
                <w:bCs/>
              </w:rPr>
              <w:t>采购代理服务费</w:t>
            </w:r>
          </w:p>
        </w:tc>
        <w:tc>
          <w:tcPr>
            <w:tcW w:w="5901" w:type="dxa"/>
            <w:vAlign w:val="center"/>
          </w:tcPr>
          <w:p w14:paraId="07C82876">
            <w:pPr>
              <w:spacing w:line="360" w:lineRule="auto"/>
              <w:rPr>
                <w:rFonts w:ascii="宋体" w:hAnsi="宋体" w:cs="宋体"/>
                <w:kern w:val="0"/>
                <w:sz w:val="24"/>
                <w:szCs w:val="24"/>
              </w:rPr>
            </w:pPr>
            <w:r>
              <w:rPr>
                <w:rFonts w:hint="eastAsia" w:ascii="宋体" w:hAnsi="宋体" w:cs="宋体"/>
                <w:kern w:val="0"/>
                <w:sz w:val="24"/>
                <w:szCs w:val="24"/>
              </w:rPr>
              <w:t>本项目的采购代理服务费为：</w:t>
            </w:r>
          </w:p>
          <w:p w14:paraId="3E7EDFCD">
            <w:pPr>
              <w:spacing w:line="360" w:lineRule="auto"/>
              <w:ind w:firstLine="420"/>
              <w:rPr>
                <w:rFonts w:ascii="宋体" w:hAnsi="宋体" w:cs="宋体"/>
                <w:kern w:val="0"/>
                <w:sz w:val="24"/>
                <w:szCs w:val="24"/>
              </w:rPr>
            </w:pPr>
            <w:r>
              <w:rPr>
                <w:rFonts w:hint="eastAsia" w:ascii="宋体" w:hAnsi="宋体" w:cs="宋体"/>
                <w:kern w:val="0"/>
                <w:sz w:val="24"/>
                <w:szCs w:val="24"/>
              </w:rPr>
              <w:t>（1）采购代理服务收费采用差额定率累进计费方式，以</w:t>
            </w:r>
            <w:r>
              <w:rPr>
                <w:rFonts w:hint="eastAsia" w:ascii="宋体" w:hAnsi="宋体" w:cs="宋体"/>
                <w:kern w:val="0"/>
                <w:sz w:val="24"/>
                <w:szCs w:val="24"/>
                <w:lang w:val="en-US" w:eastAsia="zh-CN"/>
              </w:rPr>
              <w:t>中标总额</w:t>
            </w:r>
            <w:r>
              <w:rPr>
                <w:rFonts w:hint="eastAsia" w:ascii="宋体" w:hAnsi="宋体" w:cs="宋体"/>
                <w:kern w:val="0"/>
                <w:sz w:val="24"/>
                <w:szCs w:val="24"/>
              </w:rPr>
              <w:t>为计算基数。</w:t>
            </w:r>
          </w:p>
          <w:p w14:paraId="2C1E7B94">
            <w:pPr>
              <w:spacing w:line="360" w:lineRule="auto"/>
              <w:ind w:firstLine="420"/>
              <w:rPr>
                <w:rFonts w:ascii="宋体" w:hAnsi="宋体" w:cs="宋体"/>
                <w:kern w:val="0"/>
                <w:sz w:val="24"/>
                <w:szCs w:val="24"/>
              </w:rPr>
            </w:pPr>
            <w:r>
              <w:rPr>
                <w:rFonts w:hint="eastAsia" w:ascii="宋体" w:hAnsi="宋体" w:cs="宋体"/>
                <w:kern w:val="0"/>
                <w:sz w:val="24"/>
                <w:szCs w:val="24"/>
              </w:rPr>
              <w:t>（2）各区段具体收费标准如下：</w:t>
            </w:r>
          </w:p>
          <w:p w14:paraId="31BFEBE2">
            <w:pPr>
              <w:spacing w:line="360" w:lineRule="auto"/>
              <w:ind w:firstLine="420"/>
              <w:rPr>
                <w:rFonts w:ascii="宋体" w:hAnsi="宋体" w:cs="宋体"/>
                <w:kern w:val="0"/>
                <w:sz w:val="24"/>
                <w:szCs w:val="24"/>
              </w:rPr>
            </w:pPr>
            <w:r>
              <w:rPr>
                <w:rFonts w:hint="eastAsia" w:ascii="宋体" w:hAnsi="宋体" w:cs="宋体"/>
                <w:kern w:val="0"/>
                <w:sz w:val="24"/>
                <w:szCs w:val="24"/>
              </w:rPr>
              <w:t>成交金额              费率</w:t>
            </w:r>
          </w:p>
          <w:p w14:paraId="233081A7">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14:paraId="45CAFD26">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14:paraId="6CB67871">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FD18788">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222B7F13">
            <w:pPr>
              <w:spacing w:line="360" w:lineRule="auto"/>
              <w:ind w:firstLine="420"/>
              <w:rPr>
                <w:rFonts w:ascii="宋体" w:hAnsi="宋体" w:cs="宋体"/>
                <w:kern w:val="0"/>
                <w:sz w:val="24"/>
                <w:szCs w:val="24"/>
              </w:rPr>
            </w:pPr>
            <w:r>
              <w:rPr>
                <w:rFonts w:hint="eastAsia" w:ascii="宋体" w:hAnsi="宋体" w:cs="宋体"/>
                <w:color w:val="auto"/>
                <w:kern w:val="0"/>
                <w:sz w:val="24"/>
                <w:szCs w:val="24"/>
              </w:rPr>
              <w:t>收款单位（户名）：浙江信镧</w:t>
            </w:r>
            <w:r>
              <w:rPr>
                <w:rFonts w:hint="eastAsia" w:ascii="宋体" w:hAnsi="宋体" w:cs="宋体"/>
                <w:kern w:val="0"/>
                <w:sz w:val="24"/>
                <w:szCs w:val="24"/>
              </w:rPr>
              <w:t>建设工程咨询有限公司</w:t>
            </w:r>
          </w:p>
          <w:p w14:paraId="4CBD914E">
            <w:pPr>
              <w:spacing w:line="360" w:lineRule="auto"/>
              <w:ind w:firstLine="420"/>
              <w:rPr>
                <w:rFonts w:ascii="宋体" w:hAnsi="宋体" w:cs="宋体"/>
                <w:kern w:val="0"/>
                <w:sz w:val="24"/>
                <w:szCs w:val="24"/>
              </w:rPr>
            </w:pPr>
            <w:r>
              <w:rPr>
                <w:rFonts w:hint="eastAsia" w:ascii="宋体" w:hAnsi="宋体" w:cs="宋体"/>
                <w:kern w:val="0"/>
                <w:sz w:val="24"/>
                <w:szCs w:val="24"/>
              </w:rPr>
              <w:t>开户银行：交通银行杭州华浙广场支行</w:t>
            </w:r>
          </w:p>
          <w:p w14:paraId="6F3B9A25">
            <w:pPr>
              <w:spacing w:line="360" w:lineRule="auto"/>
              <w:ind w:firstLine="463" w:firstLineChars="193"/>
              <w:rPr>
                <w:rFonts w:hint="eastAsia" w:ascii="宋体" w:hAnsi="宋体" w:cs="宋体"/>
                <w:sz w:val="24"/>
                <w:szCs w:val="24"/>
              </w:rPr>
            </w:pPr>
            <w:r>
              <w:rPr>
                <w:rFonts w:hint="eastAsia" w:ascii="宋体" w:hAnsi="宋体" w:cs="宋体"/>
                <w:kern w:val="0"/>
                <w:sz w:val="24"/>
                <w:szCs w:val="24"/>
              </w:rPr>
              <w:t>银行账号：331066090018170036304</w:t>
            </w:r>
          </w:p>
        </w:tc>
      </w:tr>
      <w:tr w14:paraId="4610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E6DB785">
            <w:pPr>
              <w:pStyle w:val="144"/>
              <w:widowControl w:val="0"/>
              <w:rPr>
                <w:rFonts w:hint="default"/>
                <w:b/>
                <w:bCs/>
                <w:lang w:val="en-US" w:eastAsia="zh-CN"/>
              </w:rPr>
            </w:pPr>
            <w:r>
              <w:rPr>
                <w:rFonts w:hint="eastAsia"/>
                <w:b/>
                <w:bCs/>
                <w:lang w:val="en-US" w:eastAsia="zh-CN"/>
              </w:rPr>
              <w:t>15</w:t>
            </w:r>
          </w:p>
        </w:tc>
        <w:tc>
          <w:tcPr>
            <w:tcW w:w="2206" w:type="dxa"/>
            <w:vMerge w:val="restart"/>
            <w:vAlign w:val="center"/>
          </w:tcPr>
          <w:p w14:paraId="097D210E">
            <w:pPr>
              <w:pStyle w:val="144"/>
              <w:widowControl w:val="0"/>
              <w:rPr>
                <w:rFonts w:hint="default"/>
                <w:b/>
                <w:bCs/>
                <w:lang w:val="en-US" w:eastAsia="zh-CN"/>
              </w:rPr>
            </w:pPr>
            <w:r>
              <w:rPr>
                <w:rFonts w:hint="eastAsia"/>
                <w:b/>
                <w:bCs/>
              </w:rPr>
              <w:t>其他注意事项</w:t>
            </w:r>
          </w:p>
        </w:tc>
        <w:tc>
          <w:tcPr>
            <w:tcW w:w="5901" w:type="dxa"/>
            <w:vAlign w:val="center"/>
          </w:tcPr>
          <w:p w14:paraId="5FC4689A">
            <w:pPr>
              <w:pStyle w:val="726"/>
              <w:snapToGrid w:val="0"/>
              <w:spacing w:line="360" w:lineRule="auto"/>
              <w:ind w:firstLine="482" w:firstLineChars="200"/>
              <w:rPr>
                <w:rFonts w:hint="eastAsia" w:ascii="宋体" w:hAnsi="宋体" w:eastAsia="宋体" w:cs="宋体"/>
                <w:kern w:val="0"/>
                <w:sz w:val="24"/>
                <w:szCs w:val="24"/>
                <w:lang w:eastAsia="zh-CN"/>
              </w:rPr>
            </w:pPr>
            <w:r>
              <w:rPr>
                <w:rFonts w:hint="eastAsia" w:cs="宋体"/>
                <w:b/>
                <w:bCs/>
                <w:sz w:val="24"/>
                <w:lang w:eastAsia="zh-CN" w:bidi="ar"/>
              </w:rPr>
              <w:t>在评审过程中，投标人</w:t>
            </w:r>
            <w:r>
              <w:rPr>
                <w:rFonts w:hint="eastAsia" w:ascii="宋体" w:hAnsi="宋体" w:cs="宋体"/>
                <w:b/>
                <w:bCs/>
                <w:sz w:val="24"/>
                <w:lang w:bidi="ar"/>
              </w:rPr>
              <w:t>无法通过政采云系统提交澄清等材料的，可在各环节规定时间内按要求将相关材料发送至以下邮箱：ZJXL87967630@126.com</w:t>
            </w:r>
          </w:p>
        </w:tc>
      </w:tr>
      <w:tr w14:paraId="59DC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C651B05">
            <w:pPr>
              <w:pStyle w:val="144"/>
              <w:widowControl w:val="0"/>
              <w:rPr>
                <w:rFonts w:hint="eastAsia"/>
                <w:b/>
                <w:bCs/>
                <w:lang w:val="en-US" w:eastAsia="zh-CN"/>
              </w:rPr>
            </w:pPr>
          </w:p>
        </w:tc>
        <w:tc>
          <w:tcPr>
            <w:tcW w:w="2206" w:type="dxa"/>
            <w:vMerge w:val="continue"/>
            <w:vAlign w:val="center"/>
          </w:tcPr>
          <w:p w14:paraId="79F805F5">
            <w:pPr>
              <w:pStyle w:val="144"/>
              <w:widowControl w:val="0"/>
              <w:rPr>
                <w:rFonts w:hint="eastAsia"/>
                <w:b/>
                <w:bCs/>
              </w:rPr>
            </w:pPr>
          </w:p>
        </w:tc>
        <w:tc>
          <w:tcPr>
            <w:tcW w:w="5901" w:type="dxa"/>
            <w:vAlign w:val="center"/>
          </w:tcPr>
          <w:p w14:paraId="135885A9">
            <w:pPr>
              <w:pStyle w:val="726"/>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2254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27C7870">
            <w:pPr>
              <w:pStyle w:val="144"/>
              <w:widowControl w:val="0"/>
              <w:rPr>
                <w:rFonts w:hint="default"/>
                <w:b/>
                <w:bCs/>
                <w:lang w:val="en-US" w:eastAsia="zh-CN"/>
              </w:rPr>
            </w:pPr>
            <w:r>
              <w:rPr>
                <w:rFonts w:hint="eastAsia"/>
                <w:b/>
                <w:bCs/>
                <w:lang w:val="en-US" w:eastAsia="zh-CN"/>
              </w:rPr>
              <w:t>16</w:t>
            </w:r>
          </w:p>
        </w:tc>
        <w:tc>
          <w:tcPr>
            <w:tcW w:w="2206" w:type="dxa"/>
            <w:vAlign w:val="center"/>
          </w:tcPr>
          <w:p w14:paraId="16DDDCBC">
            <w:pPr>
              <w:pStyle w:val="144"/>
              <w:widowControl w:val="0"/>
              <w:rPr>
                <w:rFonts w:hint="eastAsia"/>
                <w:b/>
                <w:bCs/>
              </w:rPr>
            </w:pPr>
            <w:bookmarkStart w:id="22" w:name="_Toc26773"/>
            <w:bookmarkStart w:id="23" w:name="_Toc20235"/>
            <w:r>
              <w:rPr>
                <w:rFonts w:hint="eastAsia"/>
                <w:b/>
                <w:bCs/>
              </w:rPr>
              <w:t>解释权</w:t>
            </w:r>
            <w:bookmarkEnd w:id="22"/>
            <w:bookmarkEnd w:id="23"/>
          </w:p>
        </w:tc>
        <w:tc>
          <w:tcPr>
            <w:tcW w:w="5901" w:type="dxa"/>
            <w:vAlign w:val="center"/>
          </w:tcPr>
          <w:p w14:paraId="1E0AC4A7">
            <w:pPr>
              <w:rPr>
                <w:rFonts w:hint="eastAsia"/>
              </w:rPr>
            </w:pPr>
            <w:bookmarkStart w:id="24" w:name="_Toc27891"/>
            <w:bookmarkStart w:id="25" w:name="_Toc13944"/>
            <w:r>
              <w:rPr>
                <w:rFonts w:hint="eastAsia"/>
              </w:rPr>
              <w:t>本招标文件的解释权属于</w:t>
            </w:r>
            <w:r>
              <w:rPr>
                <w:rFonts w:hint="eastAsia"/>
                <w:lang w:eastAsia="zh-CN"/>
              </w:rPr>
              <w:t>浙江信镧建设工程咨询有限公司</w:t>
            </w:r>
            <w:r>
              <w:rPr>
                <w:rFonts w:hint="eastAsia"/>
              </w:rPr>
              <w:t>。</w:t>
            </w:r>
            <w:bookmarkEnd w:id="24"/>
            <w:bookmarkEnd w:id="25"/>
          </w:p>
        </w:tc>
      </w:tr>
      <w:bookmarkEnd w:id="13"/>
    </w:tbl>
    <w:p w14:paraId="529F5BA1">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ED6653F">
      <w:pPr>
        <w:pStyle w:val="4"/>
        <w:bidi w:val="0"/>
      </w:pPr>
      <w:bookmarkStart w:id="26" w:name="_Toc2518"/>
      <w:bookmarkStart w:id="27" w:name="_Toc3424"/>
      <w:r>
        <w:rPr>
          <w:rFonts w:hint="eastAsia"/>
        </w:rPr>
        <w:t>一、总则</w:t>
      </w:r>
      <w:bookmarkEnd w:id="26"/>
      <w:bookmarkEnd w:id="27"/>
    </w:p>
    <w:p w14:paraId="407EDD0D">
      <w:pPr>
        <w:pStyle w:val="5"/>
      </w:pPr>
      <w:r>
        <w:rPr>
          <w:rFonts w:hint="eastAsia"/>
        </w:rPr>
        <w:t>1.适用范围</w:t>
      </w:r>
    </w:p>
    <w:p w14:paraId="4BD4975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780ECB3">
      <w:pPr>
        <w:pStyle w:val="5"/>
        <w:rPr>
          <w:rFonts w:hint="eastAsia"/>
        </w:rPr>
      </w:pPr>
      <w:r>
        <w:rPr>
          <w:rFonts w:hint="eastAsia"/>
        </w:rPr>
        <w:t>2.定义</w:t>
      </w:r>
    </w:p>
    <w:p w14:paraId="2AA5F33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564BD86">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3E0D10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F47DA8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2F3227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40C34F">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09EA8D68">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96646CD">
      <w:pPr>
        <w:pStyle w:val="5"/>
      </w:pPr>
      <w:r>
        <w:rPr>
          <w:rFonts w:hint="eastAsia"/>
        </w:rPr>
        <w:t>3.采购项目需要落实的政府采购政策</w:t>
      </w:r>
    </w:p>
    <w:p w14:paraId="0EC9DC5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6349A3F">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14:paraId="3220ED13">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14:paraId="3F0302F3">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50A71DA0">
      <w:pPr>
        <w:spacing w:line="360" w:lineRule="auto"/>
        <w:ind w:firstLine="480" w:firstLineChars="200"/>
        <w:rPr>
          <w:rFonts w:ascii="宋体" w:hAnsi="宋体" w:cs="宋体"/>
          <w:sz w:val="24"/>
        </w:rPr>
      </w:pPr>
      <w:r>
        <w:rPr>
          <w:rFonts w:hint="eastAsia" w:ascii="宋体" w:hAnsi="宋体" w:cs="宋体"/>
          <w:sz w:val="24"/>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B4F4C1A">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14:paraId="7C51AF3E">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14:paraId="7182E73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7BA6D0F">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14:paraId="5864EDC4">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14:paraId="43DC90D9">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14:paraId="67D07797">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0BDCE18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14:paraId="6EF377AA">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20D7CF4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16D2F9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3BFF8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1EDB6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A537B95">
      <w:pPr>
        <w:spacing w:line="360" w:lineRule="auto"/>
        <w:ind w:firstLine="241" w:firstLineChars="100"/>
        <w:rPr>
          <w:rFonts w:ascii="宋体" w:hAnsi="宋体" w:cs="宋体"/>
          <w:b/>
          <w:bCs/>
          <w:sz w:val="24"/>
        </w:rPr>
      </w:pPr>
      <w:r>
        <w:rPr>
          <w:rFonts w:hint="eastAsia" w:ascii="宋体" w:hAnsi="宋体" w:cs="宋体"/>
          <w:b/>
          <w:bCs/>
          <w:sz w:val="24"/>
        </w:rPr>
        <w:t>3.4支持创新发展</w:t>
      </w:r>
    </w:p>
    <w:p w14:paraId="7B96F3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23A1F98">
      <w:pPr>
        <w:spacing w:line="360" w:lineRule="auto"/>
        <w:ind w:firstLine="480" w:firstLineChars="200"/>
        <w:rPr>
          <w:rFonts w:hint="eastAsia" w:ascii="宋体" w:hAnsi="宋体" w:cs="宋体"/>
          <w:b/>
          <w:bCs/>
          <w:sz w:val="24"/>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B309AAF">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14:paraId="132B0970">
      <w:pPr>
        <w:bidi w:val="0"/>
        <w:ind w:firstLine="480" w:firstLineChars="200"/>
        <w:rPr>
          <w:rFonts w:hint="eastAsia"/>
        </w:rPr>
      </w:pPr>
      <w:r>
        <w:rPr>
          <w:rFonts w:hint="eastAsia"/>
        </w:rPr>
        <w:t>平等对待内外资企业和符合条件的破产重整企业，切实保障企业公平竞争，平等维护企业的合法利益。</w:t>
      </w:r>
    </w:p>
    <w:p w14:paraId="6DFFC76B">
      <w:pPr>
        <w:pStyle w:val="5"/>
        <w:bidi w:val="0"/>
        <w:rPr>
          <w:rFonts w:hint="eastAsia"/>
          <w:color w:val="auto"/>
        </w:rPr>
      </w:pPr>
      <w:r>
        <w:rPr>
          <w:rFonts w:hint="eastAsia" w:ascii="宋体" w:hAnsi="宋体" w:cs="宋体"/>
          <w:sz w:val="24"/>
          <w:lang w:val="en-US" w:eastAsia="zh-CN"/>
        </w:rPr>
        <w:t>4.</w:t>
      </w:r>
      <w:r>
        <w:rPr>
          <w:rFonts w:hint="eastAsia"/>
          <w:color w:val="auto"/>
        </w:rPr>
        <w:t>询问、质疑、投诉</w:t>
      </w:r>
    </w:p>
    <w:p w14:paraId="6E405397">
      <w:pPr>
        <w:pStyle w:val="6"/>
        <w:bidi w:val="0"/>
      </w:pPr>
      <w:r>
        <w:rPr>
          <w:rFonts w:hint="eastAsia"/>
          <w:lang w:val="en-US" w:eastAsia="zh-CN"/>
        </w:rPr>
        <w:t>4.1</w:t>
      </w:r>
      <w:r>
        <w:t>在线询问、质疑、投诉</w:t>
      </w:r>
    </w:p>
    <w:p w14:paraId="35EDA425">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BB2007">
      <w:pPr>
        <w:pStyle w:val="6"/>
        <w:bidi w:val="0"/>
      </w:pPr>
      <w:r>
        <w:rPr>
          <w:rFonts w:hint="eastAsia"/>
          <w:lang w:val="en-US" w:eastAsia="zh-CN"/>
        </w:rPr>
        <w:t>4.</w:t>
      </w:r>
      <w:r>
        <w:rPr>
          <w:rFonts w:hint="eastAsia"/>
        </w:rPr>
        <w:t>2供应商询问</w:t>
      </w:r>
    </w:p>
    <w:p w14:paraId="1493329A">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0DB81B">
      <w:pPr>
        <w:pStyle w:val="6"/>
        <w:bidi w:val="0"/>
      </w:pPr>
      <w:r>
        <w:rPr>
          <w:rFonts w:hint="eastAsia"/>
          <w:lang w:val="en-US" w:eastAsia="zh-CN"/>
        </w:rPr>
        <w:t>4.</w:t>
      </w:r>
      <w:r>
        <w:rPr>
          <w:rFonts w:hint="eastAsia"/>
        </w:rPr>
        <w:t>3供应商质疑</w:t>
      </w:r>
    </w:p>
    <w:p w14:paraId="2898EA7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14:paraId="0F6ABF5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DD7DED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14:paraId="114527B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14:paraId="4E67AE8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14:paraId="560C2BF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14:paraId="1608E54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14:paraId="7219A17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14:paraId="13C72A4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14:paraId="565E32B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14:paraId="40AB9BCE">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14:paraId="5E24580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6F0AD8A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14:paraId="1B88ABE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14:paraId="2EE9DF02">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77F1BED7">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14:paraId="5FAE2527">
      <w:pPr>
        <w:pStyle w:val="32"/>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14:paraId="5E7C0496">
      <w:pPr>
        <w:pStyle w:val="32"/>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14:paraId="45CC0E29">
      <w:pPr>
        <w:pStyle w:val="3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7365CB52">
      <w:pPr>
        <w:pStyle w:val="3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3FF055AA">
      <w:pPr>
        <w:pStyle w:val="3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2CB7C818">
      <w:pPr>
        <w:pStyle w:val="6"/>
        <w:bidi w:val="0"/>
      </w:pPr>
      <w:r>
        <w:rPr>
          <w:rFonts w:hint="eastAsia"/>
        </w:rPr>
        <w:t>4.</w:t>
      </w:r>
      <w:r>
        <w:rPr>
          <w:rFonts w:hint="eastAsia"/>
          <w:lang w:val="en-US" w:eastAsia="zh-CN"/>
        </w:rPr>
        <w:t>4</w:t>
      </w:r>
      <w:r>
        <w:rPr>
          <w:rFonts w:hint="eastAsia"/>
        </w:rPr>
        <w:t>供应商投诉</w:t>
      </w:r>
    </w:p>
    <w:p w14:paraId="5FEA65B7">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14:paraId="2AE4A580">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14:paraId="5AB29C14">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14:paraId="0B45E97A">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14:paraId="5A87296A">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14:paraId="6B29B653">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14:paraId="3A5D84CC">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14:paraId="11AA5E7C">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14:paraId="40142C12">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14:paraId="5B58469E">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14:paraId="1E73AE08">
      <w:pPr>
        <w:pStyle w:val="32"/>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14:paraId="4F643D68">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14:paraId="487D842E">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14:paraId="0A52582A">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14:paraId="169762B6">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14:paraId="1E8CE891">
      <w:pPr>
        <w:pStyle w:val="32"/>
        <w:spacing w:line="360" w:lineRule="auto"/>
        <w:ind w:firstLine="480" w:firstLineChars="200"/>
        <w:rPr>
          <w:rFonts w:hint="eastAsia" w:ascii="宋体" w:hAnsi="宋体" w:eastAsia="宋体"/>
          <w:sz w:val="24"/>
          <w:lang w:val="zh-CN" w:eastAsia="zh-CN"/>
        </w:rPr>
      </w:pPr>
    </w:p>
    <w:p w14:paraId="342BEEB5">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14:paraId="6071C511">
      <w:pPr>
        <w:pStyle w:val="32"/>
        <w:spacing w:line="360" w:lineRule="auto"/>
        <w:ind w:firstLine="480" w:firstLineChars="200"/>
        <w:rPr>
          <w:rFonts w:hint="eastAsia" w:ascii="宋体" w:hAnsi="宋体" w:eastAsia="宋体"/>
          <w:sz w:val="24"/>
          <w:lang w:val="zh-CN" w:eastAsia="zh-CN"/>
        </w:rPr>
      </w:pPr>
    </w:p>
    <w:p w14:paraId="2E823F59">
      <w:pPr>
        <w:pStyle w:val="891"/>
        <w:shd w:val="clear" w:color="auto" w:fill="FFFFFF"/>
        <w:snapToGrid w:val="0"/>
        <w:spacing w:after="240" w:afterAutospacing="0" w:line="360" w:lineRule="auto"/>
        <w:ind w:firstLine="400"/>
        <w:contextualSpacing/>
      </w:pPr>
    </w:p>
    <w:p w14:paraId="3F7245BF">
      <w:pPr>
        <w:pStyle w:val="4"/>
        <w:bidi w:val="0"/>
      </w:pPr>
      <w:bookmarkStart w:id="28" w:name="_Toc6417"/>
      <w:bookmarkStart w:id="29" w:name="_Toc2155"/>
      <w:r>
        <w:rPr>
          <w:rFonts w:hint="eastAsia"/>
        </w:rPr>
        <w:t>二、招标文件的构成、澄清、修改</w:t>
      </w:r>
      <w:bookmarkEnd w:id="28"/>
      <w:bookmarkEnd w:id="29"/>
    </w:p>
    <w:p w14:paraId="782C7DCB">
      <w:pPr>
        <w:pStyle w:val="5"/>
        <w:bidi w:val="0"/>
      </w:pPr>
      <w:r>
        <w:rPr>
          <w:rFonts w:hint="eastAsia"/>
        </w:rPr>
        <w:t>5．招标文件的构成</w:t>
      </w:r>
    </w:p>
    <w:p w14:paraId="569851A4">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10DC5B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E3646E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B6DB1F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6732DF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E7A676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5B00AD0">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0574D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832D01D">
      <w:pPr>
        <w:pStyle w:val="5"/>
        <w:bidi w:val="0"/>
      </w:pPr>
      <w:r>
        <w:rPr>
          <w:rFonts w:hint="eastAsia"/>
        </w:rPr>
        <w:t>6. 招标文件的澄清、修改</w:t>
      </w:r>
    </w:p>
    <w:p w14:paraId="59E32FD6">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A62FC4E">
      <w:pPr>
        <w:pStyle w:val="135"/>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725512">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72ACC00">
      <w:pPr>
        <w:pStyle w:val="4"/>
        <w:bidi w:val="0"/>
      </w:pPr>
      <w:bookmarkStart w:id="30" w:name="_Toc23795"/>
      <w:bookmarkStart w:id="31" w:name="_Toc21343"/>
      <w:r>
        <w:rPr>
          <w:rFonts w:hint="eastAsia"/>
        </w:rPr>
        <w:t>三、投标</w:t>
      </w:r>
      <w:bookmarkEnd w:id="30"/>
      <w:bookmarkEnd w:id="31"/>
    </w:p>
    <w:p w14:paraId="25C5BB77">
      <w:pPr>
        <w:pStyle w:val="5"/>
        <w:bidi w:val="0"/>
      </w:pPr>
      <w:r>
        <w:rPr>
          <w:rFonts w:hint="eastAsia"/>
        </w:rPr>
        <w:t>7. 招标文件的获取</w:t>
      </w:r>
    </w:p>
    <w:p w14:paraId="63DDA97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B010C3B">
      <w:pPr>
        <w:pStyle w:val="5"/>
        <w:bidi w:val="0"/>
      </w:pPr>
      <w:r>
        <w:rPr>
          <w:rFonts w:hint="eastAsia"/>
        </w:rPr>
        <w:t>8.开标前答疑会或现场考察</w:t>
      </w:r>
    </w:p>
    <w:p w14:paraId="74437293">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59F4877">
      <w:pPr>
        <w:pStyle w:val="5"/>
        <w:bidi w:val="0"/>
      </w:pPr>
      <w:r>
        <w:rPr>
          <w:rFonts w:hint="eastAsia"/>
        </w:rPr>
        <w:t>9.投标保证金</w:t>
      </w:r>
    </w:p>
    <w:p w14:paraId="1D4DCAFB">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9CD55D">
      <w:pPr>
        <w:pStyle w:val="5"/>
        <w:bidi w:val="0"/>
      </w:pPr>
      <w:r>
        <w:rPr>
          <w:rFonts w:hint="eastAsia"/>
        </w:rPr>
        <w:t>10.投标文件的语言</w:t>
      </w:r>
    </w:p>
    <w:p w14:paraId="7639EA1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B661CEC">
      <w:pPr>
        <w:pStyle w:val="5"/>
        <w:bidi w:val="0"/>
      </w:pPr>
      <w:r>
        <w:rPr>
          <w:rFonts w:hint="eastAsia"/>
        </w:rPr>
        <w:t>11.投标文件的组成</w:t>
      </w:r>
    </w:p>
    <w:p w14:paraId="443BFD99">
      <w:pPr>
        <w:pStyle w:val="6"/>
        <w:bidi w:val="0"/>
      </w:pPr>
      <w:r>
        <w:rPr>
          <w:rFonts w:hint="eastAsia"/>
        </w:rPr>
        <w:t>11.1资格文件</w:t>
      </w:r>
    </w:p>
    <w:p w14:paraId="1463500F">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5D139C2">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14:paraId="7E0EA530">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cs="宋体"/>
          <w:sz w:val="24"/>
          <w:lang w:eastAsia="zh-CN"/>
        </w:rPr>
        <w:t>：</w:t>
      </w:r>
      <w:r>
        <w:t>中小企业声明函</w:t>
      </w:r>
      <w:r>
        <w:rPr>
          <w:rFonts w:hint="eastAsia" w:ascii="宋体" w:hAnsi="宋体" w:eastAsia="宋体" w:cs="宋体"/>
          <w:sz w:val="24"/>
        </w:rPr>
        <w:t>；</w:t>
      </w:r>
    </w:p>
    <w:p w14:paraId="15E581F8">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14:paraId="7D044A7C">
      <w:pPr>
        <w:pStyle w:val="6"/>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5503D90C">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C79392F">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14:paraId="55789FC5">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14:paraId="6BA70433">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14:paraId="0EB0C194">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11.2.5</w:t>
      </w:r>
      <w:r>
        <w:t>中小企业声明函（如有）</w:t>
      </w:r>
    </w:p>
    <w:p w14:paraId="49711573">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eastAsia="宋体" w:cs="宋体"/>
          <w:sz w:val="24"/>
        </w:rPr>
        <w:t>评标标准相应的商务技术资料；</w:t>
      </w:r>
    </w:p>
    <w:p w14:paraId="0E713EC7">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11.2.7</w:t>
      </w:r>
      <w:r>
        <w:rPr>
          <w:rFonts w:hint="eastAsia" w:ascii="宋体" w:hAnsi="宋体" w:cs="宋体"/>
          <w:sz w:val="24"/>
        </w:rPr>
        <w:t>商务</w:t>
      </w:r>
      <w:r>
        <w:rPr>
          <w:rFonts w:hint="eastAsia" w:ascii="宋体" w:hAnsi="宋体" w:cs="宋体"/>
          <w:sz w:val="24"/>
          <w:lang w:val="en-US" w:eastAsia="zh-CN"/>
        </w:rPr>
        <w:t>偏离表；</w:t>
      </w:r>
    </w:p>
    <w:p w14:paraId="00FD30E6">
      <w:pPr>
        <w:snapToGrid w:val="0"/>
        <w:spacing w:line="360" w:lineRule="auto"/>
        <w:rPr>
          <w:rFonts w:hint="eastAsia" w:ascii="宋体" w:hAnsi="宋体" w:cs="宋体"/>
          <w:sz w:val="24"/>
        </w:rPr>
      </w:pPr>
      <w:r>
        <w:rPr>
          <w:rFonts w:hint="eastAsia" w:ascii="宋体" w:hAnsi="宋体" w:cs="宋体"/>
          <w:sz w:val="24"/>
          <w:lang w:val="en-US" w:eastAsia="zh-CN"/>
        </w:rPr>
        <w:t>11.2.9</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14:paraId="1C773D97">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9</w:t>
      </w:r>
      <w:r>
        <w:rPr>
          <w:rFonts w:hint="eastAsia" w:ascii="宋体" w:hAnsi="宋体" w:eastAsia="宋体" w:cs="宋体"/>
          <w:sz w:val="24"/>
          <w:lang w:val="zh-CN"/>
        </w:rPr>
        <w:t>政府采购供应商廉洁自律承诺书；</w:t>
      </w:r>
    </w:p>
    <w:p w14:paraId="0C03934A">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sz w:val="24"/>
          <w:lang w:val="en-US" w:eastAsia="zh-CN"/>
        </w:rPr>
        <w:t>11.2</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14:paraId="4A0D93B6">
      <w:pPr>
        <w:pStyle w:val="6"/>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14:paraId="493C92BC">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14:paraId="43631761">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r>
        <w:rPr>
          <w:rFonts w:hint="eastAsia" w:ascii="宋体" w:hAnsi="宋体" w:cs="宋体"/>
          <w:color w:val="auto"/>
          <w:sz w:val="24"/>
          <w:lang w:eastAsia="zh-CN"/>
        </w:rPr>
        <w:t>。</w:t>
      </w:r>
    </w:p>
    <w:p w14:paraId="41B4A504">
      <w:pPr>
        <w:spacing w:line="360" w:lineRule="auto"/>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D4DBD71">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投标人提供虚假材料投标的，投标无效。</w:t>
      </w:r>
    </w:p>
    <w:p w14:paraId="0B85A401">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7301DF8">
      <w:pPr>
        <w:pStyle w:val="5"/>
        <w:bidi w:val="0"/>
      </w:pPr>
      <w:r>
        <w:rPr>
          <w:rFonts w:hint="eastAsia"/>
        </w:rPr>
        <w:t>12</w:t>
      </w:r>
      <w:r>
        <w:rPr>
          <w:rFonts w:hint="eastAsia"/>
          <w:lang w:val="zh-CN"/>
        </w:rPr>
        <w:t xml:space="preserve">. </w:t>
      </w:r>
      <w:r>
        <w:rPr>
          <w:rFonts w:hint="eastAsia"/>
        </w:rPr>
        <w:t>投标文件的编制</w:t>
      </w:r>
    </w:p>
    <w:p w14:paraId="11FC79F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9E848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7B866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55E80AD">
      <w:pPr>
        <w:pStyle w:val="5"/>
        <w:bidi w:val="0"/>
      </w:pPr>
      <w:r>
        <w:rPr>
          <w:rFonts w:hint="eastAsia"/>
        </w:rPr>
        <w:t>13.投标文件的签署、盖章</w:t>
      </w:r>
    </w:p>
    <w:p w14:paraId="685F8458">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094C8A8">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8CF7194">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57627E6">
      <w:pPr>
        <w:pStyle w:val="5"/>
        <w:bidi w:val="0"/>
      </w:pPr>
      <w:r>
        <w:rPr>
          <w:rFonts w:hint="eastAsia"/>
        </w:rPr>
        <w:t>14. 投标文件的提交、补充、修改、撤回</w:t>
      </w:r>
    </w:p>
    <w:p w14:paraId="75A15298">
      <w:pPr>
        <w:pStyle w:val="135"/>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F03CF9">
      <w:pPr>
        <w:pStyle w:val="135"/>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31964CD7">
      <w:pPr>
        <w:pStyle w:val="135"/>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14:paraId="465B2AA2">
      <w:pPr>
        <w:pStyle w:val="5"/>
        <w:bidi w:val="0"/>
      </w:pPr>
      <w:r>
        <w:rPr>
          <w:rFonts w:hint="eastAsia"/>
        </w:rPr>
        <w:t>15.备份投标文件</w:t>
      </w:r>
    </w:p>
    <w:p w14:paraId="32D10BEC">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4A93C22">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912B2B3">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6FA4F90B">
      <w:pPr>
        <w:pStyle w:val="32"/>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F5D6B69">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D48F532">
      <w:pPr>
        <w:pStyle w:val="5"/>
        <w:bidi w:val="0"/>
      </w:pPr>
      <w:r>
        <w:rPr>
          <w:rFonts w:hint="eastAsia"/>
        </w:rPr>
        <w:t>16.投标文件的无效处理</w:t>
      </w:r>
    </w:p>
    <w:p w14:paraId="591BF145">
      <w:pPr>
        <w:pStyle w:val="2"/>
        <w:spacing w:line="360" w:lineRule="auto"/>
        <w:ind w:firstLine="360" w:firstLineChars="150"/>
        <w:rPr>
          <w:rFonts w:hint="eastAsia" w:eastAsia="宋体" w:cs="宋体"/>
          <w:szCs w:val="21"/>
          <w:lang w:eastAsia="zh-CN"/>
        </w:rPr>
      </w:pPr>
      <w:r>
        <w:rPr>
          <w:rFonts w:hint="eastAsia" w:cs="宋体"/>
          <w:szCs w:val="21"/>
        </w:rPr>
        <w:t>有招标文件第四部分</w:t>
      </w:r>
      <w:r>
        <w:rPr>
          <w:rFonts w:hint="eastAsia" w:cs="宋体"/>
          <w:szCs w:val="21"/>
          <w:lang w:val="en-US" w:eastAsia="zh-CN"/>
        </w:rPr>
        <w:t>评标办法中四、评标中的其他事项</w:t>
      </w:r>
      <w:r>
        <w:rPr>
          <w:rFonts w:cs="宋体"/>
          <w:szCs w:val="21"/>
        </w:rPr>
        <w:t>4.2规定</w:t>
      </w:r>
      <w:r>
        <w:rPr>
          <w:rFonts w:hint="eastAsia" w:cs="宋体"/>
          <w:szCs w:val="21"/>
        </w:rPr>
        <w:t>的情形之一的，投标无效</w:t>
      </w:r>
      <w:r>
        <w:rPr>
          <w:rFonts w:hint="eastAsia" w:cs="宋体"/>
          <w:szCs w:val="21"/>
          <w:lang w:eastAsia="zh-CN"/>
        </w:rPr>
        <w:t>。</w:t>
      </w:r>
    </w:p>
    <w:p w14:paraId="1838FAAA">
      <w:pPr>
        <w:pStyle w:val="5"/>
        <w:bidi w:val="0"/>
      </w:pPr>
      <w:r>
        <w:rPr>
          <w:rFonts w:hint="eastAsia"/>
        </w:rPr>
        <w:t>17.投标有效期</w:t>
      </w:r>
    </w:p>
    <w:p w14:paraId="512B461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CB180D4">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33DA5A27">
      <w:pPr>
        <w:pStyle w:val="13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396BEA0">
      <w:pPr>
        <w:pStyle w:val="135"/>
        <w:spacing w:before="0"/>
        <w:ind w:firstLine="643"/>
        <w:rPr>
          <w:rFonts w:ascii="宋体" w:hAnsi="宋体" w:cs="宋体"/>
          <w:b/>
          <w:sz w:val="32"/>
        </w:rPr>
      </w:pPr>
    </w:p>
    <w:p w14:paraId="0027BE99">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9E26B73">
      <w:pPr>
        <w:pStyle w:val="4"/>
        <w:bidi w:val="0"/>
      </w:pPr>
      <w:bookmarkStart w:id="32" w:name="_Toc21464"/>
      <w:bookmarkStart w:id="33" w:name="_Toc2842"/>
      <w:r>
        <w:rPr>
          <w:rFonts w:hint="eastAsia"/>
        </w:rPr>
        <w:t>四、开标、资格审查与信用信息查询</w:t>
      </w:r>
      <w:bookmarkEnd w:id="32"/>
      <w:bookmarkEnd w:id="33"/>
    </w:p>
    <w:p w14:paraId="58B7F3D0">
      <w:pPr>
        <w:pStyle w:val="5"/>
        <w:bidi w:val="0"/>
      </w:pPr>
      <w:r>
        <w:rPr>
          <w:rFonts w:hint="eastAsia"/>
        </w:rPr>
        <w:t xml:space="preserve">18.开标 </w:t>
      </w:r>
    </w:p>
    <w:p w14:paraId="723402E5">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B69F697">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4D0701C">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6855F05">
      <w:pPr>
        <w:pStyle w:val="5"/>
        <w:bidi w:val="0"/>
      </w:pPr>
      <w:r>
        <w:rPr>
          <w:rFonts w:hint="eastAsia"/>
        </w:rPr>
        <w:t>19</w:t>
      </w:r>
      <w:r>
        <w:rPr>
          <w:rFonts w:hint="eastAsia"/>
          <w:lang w:val="en-US" w:eastAsia="zh-CN"/>
        </w:rPr>
        <w:t>.</w:t>
      </w:r>
      <w:r>
        <w:rPr>
          <w:rFonts w:hint="eastAsia"/>
        </w:rPr>
        <w:t>资格审查</w:t>
      </w:r>
    </w:p>
    <w:p w14:paraId="5A2A6226">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D02ED74">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C2BD3CF">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A85D314">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EC31C92">
      <w:pPr>
        <w:pStyle w:val="5"/>
        <w:bidi w:val="0"/>
        <w:rPr>
          <w:color w:val="auto"/>
        </w:rPr>
      </w:pPr>
      <w:r>
        <w:rPr>
          <w:rFonts w:hint="eastAsia"/>
        </w:rPr>
        <w:t>20</w:t>
      </w:r>
      <w:r>
        <w:rPr>
          <w:rFonts w:hint="eastAsia"/>
          <w:color w:val="auto"/>
          <w:lang w:val="en-US" w:eastAsia="zh-CN"/>
        </w:rPr>
        <w:t>.</w:t>
      </w:r>
      <w:r>
        <w:rPr>
          <w:rFonts w:hint="eastAsia"/>
          <w:color w:val="auto"/>
        </w:rPr>
        <w:t>信用信息查询</w:t>
      </w:r>
    </w:p>
    <w:p w14:paraId="2298536B">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0DCD79F4">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43B151E">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03331A5">
      <w:pPr>
        <w:pStyle w:val="726"/>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70DA041">
      <w:pPr>
        <w:pStyle w:val="726"/>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0945DDA">
      <w:pPr>
        <w:pStyle w:val="135"/>
        <w:spacing w:before="0"/>
        <w:ind w:firstLine="480"/>
        <w:rPr>
          <w:rFonts w:ascii="宋体" w:hAnsi="宋体" w:cs="宋体"/>
          <w:highlight w:val="none"/>
        </w:rPr>
      </w:pPr>
    </w:p>
    <w:p w14:paraId="4357B8A2">
      <w:pPr>
        <w:pStyle w:val="135"/>
        <w:spacing w:before="0"/>
        <w:ind w:firstLine="0" w:firstLineChars="0"/>
        <w:rPr>
          <w:rFonts w:ascii="宋体" w:hAnsi="宋体" w:cs="宋体"/>
          <w:kern w:val="0"/>
          <w:szCs w:val="24"/>
          <w:highlight w:val="none"/>
        </w:rPr>
      </w:pPr>
    </w:p>
    <w:p w14:paraId="1D5633CC">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DB624C2">
      <w:pPr>
        <w:pStyle w:val="4"/>
        <w:bidi w:val="0"/>
      </w:pPr>
      <w:bookmarkStart w:id="34" w:name="_Toc5142"/>
      <w:bookmarkStart w:id="35" w:name="_Toc313"/>
      <w:r>
        <w:rPr>
          <w:rFonts w:hint="eastAsia"/>
        </w:rPr>
        <w:t>五、评标</w:t>
      </w:r>
      <w:bookmarkEnd w:id="34"/>
      <w:bookmarkEnd w:id="35"/>
    </w:p>
    <w:p w14:paraId="06541742">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F80206">
      <w:pPr>
        <w:spacing w:line="360" w:lineRule="auto"/>
        <w:rPr>
          <w:rFonts w:ascii="宋体" w:hAnsi="宋体" w:cs="宋体"/>
          <w:b/>
          <w:sz w:val="24"/>
        </w:rPr>
      </w:pPr>
    </w:p>
    <w:p w14:paraId="2F0E07B6">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942C7E8">
      <w:pPr>
        <w:pStyle w:val="4"/>
        <w:bidi w:val="0"/>
      </w:pPr>
      <w:bookmarkStart w:id="37" w:name="_Toc30166"/>
      <w:bookmarkStart w:id="38" w:name="_Toc15047"/>
      <w:r>
        <w:rPr>
          <w:rFonts w:hint="eastAsia"/>
        </w:rPr>
        <w:t>六、定 标</w:t>
      </w:r>
      <w:bookmarkEnd w:id="37"/>
      <w:bookmarkEnd w:id="38"/>
    </w:p>
    <w:p w14:paraId="5DE7D0B5">
      <w:pPr>
        <w:pStyle w:val="5"/>
        <w:bidi w:val="0"/>
      </w:pPr>
      <w:r>
        <w:rPr>
          <w:rFonts w:hint="eastAsia"/>
        </w:rPr>
        <w:t>22. 确定中标供应商</w:t>
      </w:r>
    </w:p>
    <w:p w14:paraId="45EAFDC5">
      <w:pPr>
        <w:pStyle w:val="135"/>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5F6E8BCD">
      <w:pPr>
        <w:pStyle w:val="5"/>
        <w:bidi w:val="0"/>
      </w:pPr>
      <w:r>
        <w:rPr>
          <w:rFonts w:hint="eastAsia"/>
        </w:rPr>
        <w:t>23. 中标通知与中标结果公告</w:t>
      </w:r>
    </w:p>
    <w:p w14:paraId="0F0C41D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1E448F8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7BEABF55">
      <w:pPr>
        <w:pStyle w:val="135"/>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23.3</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5741132">
      <w:pPr>
        <w:pStyle w:val="79"/>
      </w:pPr>
    </w:p>
    <w:p w14:paraId="7CF7F121">
      <w:pPr>
        <w:snapToGrid w:val="0"/>
        <w:spacing w:line="360" w:lineRule="auto"/>
        <w:ind w:left="137" w:leftChars="57" w:firstLine="482" w:firstLineChars="150"/>
        <w:jc w:val="center"/>
        <w:rPr>
          <w:rFonts w:ascii="宋体" w:hAnsi="宋体" w:cs="宋体"/>
          <w:b/>
          <w:sz w:val="32"/>
        </w:rPr>
      </w:pPr>
    </w:p>
    <w:p w14:paraId="5A028146">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9201B00">
      <w:pPr>
        <w:pStyle w:val="4"/>
        <w:bidi w:val="0"/>
      </w:pPr>
      <w:bookmarkStart w:id="39" w:name="_Toc19257"/>
      <w:bookmarkStart w:id="40" w:name="_Toc18672"/>
      <w:r>
        <w:rPr>
          <w:rFonts w:hint="eastAsia"/>
        </w:rPr>
        <w:t>七、合同授予</w:t>
      </w:r>
      <w:bookmarkEnd w:id="39"/>
      <w:bookmarkEnd w:id="40"/>
    </w:p>
    <w:p w14:paraId="59F44344">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A539B8E">
      <w:pPr>
        <w:pStyle w:val="5"/>
        <w:bidi w:val="0"/>
      </w:pPr>
      <w:r>
        <w:rPr>
          <w:rFonts w:hint="eastAsia"/>
        </w:rPr>
        <w:t>25. 合同的签订</w:t>
      </w:r>
    </w:p>
    <w:p w14:paraId="75D5F8B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14:paraId="3109F5B4">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C8AE610">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2BFE855">
      <w:pPr>
        <w:pStyle w:val="135"/>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A5AC994">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17CC673D">
      <w:pPr>
        <w:pStyle w:val="5"/>
        <w:bidi w:val="0"/>
      </w:pPr>
      <w:r>
        <w:rPr>
          <w:rFonts w:hint="eastAsia"/>
        </w:rPr>
        <w:t>26. 履约保证金</w:t>
      </w:r>
    </w:p>
    <w:p w14:paraId="20EE03D9">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14:paraId="486A22AB">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5BB624">
      <w:pPr>
        <w:pStyle w:val="4"/>
        <w:bidi w:val="0"/>
      </w:pPr>
      <w:bookmarkStart w:id="41" w:name="_Toc1857"/>
      <w:bookmarkStart w:id="42" w:name="_Toc28676"/>
      <w:r>
        <w:rPr>
          <w:rFonts w:hint="eastAsia"/>
        </w:rPr>
        <w:t>八、电子交易活动的中止</w:t>
      </w:r>
      <w:bookmarkEnd w:id="41"/>
      <w:bookmarkEnd w:id="42"/>
    </w:p>
    <w:p w14:paraId="73D9E447">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59F48AC">
      <w:pPr>
        <w:pStyle w:val="135"/>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4BD137D5">
      <w:pPr>
        <w:pStyle w:val="13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2052E75">
      <w:pPr>
        <w:pStyle w:val="135"/>
        <w:snapToGrid w:val="0"/>
        <w:spacing w:before="0"/>
        <w:ind w:firstLine="480"/>
        <w:rPr>
          <w:rFonts w:ascii="宋体" w:hAnsi="宋体" w:cs="宋体"/>
        </w:rPr>
      </w:pPr>
      <w:r>
        <w:rPr>
          <w:rFonts w:hint="eastAsia" w:ascii="宋体" w:hAnsi="宋体" w:cs="宋体"/>
        </w:rPr>
        <w:t>27.3电子交易平台发现严重安全漏洞，有潜在泄密危险的；</w:t>
      </w:r>
    </w:p>
    <w:p w14:paraId="3204380F">
      <w:pPr>
        <w:pStyle w:val="135"/>
        <w:snapToGrid w:val="0"/>
        <w:spacing w:before="0"/>
        <w:ind w:firstLine="480"/>
        <w:rPr>
          <w:rFonts w:ascii="宋体" w:hAnsi="宋体" w:cs="宋体"/>
        </w:rPr>
      </w:pPr>
      <w:r>
        <w:rPr>
          <w:rFonts w:hint="eastAsia" w:ascii="宋体" w:hAnsi="宋体" w:cs="宋体"/>
        </w:rPr>
        <w:t xml:space="preserve">27.4病毒发作导致不能进行正常操作的； </w:t>
      </w:r>
    </w:p>
    <w:p w14:paraId="771C38D0">
      <w:pPr>
        <w:pStyle w:val="135"/>
        <w:snapToGrid w:val="0"/>
        <w:spacing w:before="0"/>
        <w:ind w:firstLine="480"/>
        <w:rPr>
          <w:rFonts w:ascii="宋体" w:hAnsi="宋体" w:cs="宋体"/>
        </w:rPr>
      </w:pPr>
      <w:r>
        <w:rPr>
          <w:rFonts w:hint="eastAsia" w:ascii="宋体" w:hAnsi="宋体" w:cs="宋体"/>
        </w:rPr>
        <w:t>27.5其他无法保证电子交易的公平、公正和安全的情况。</w:t>
      </w:r>
    </w:p>
    <w:p w14:paraId="30031E14">
      <w:pPr>
        <w:pStyle w:val="135"/>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47397258">
      <w:pPr>
        <w:tabs>
          <w:tab w:val="left" w:pos="0"/>
        </w:tabs>
        <w:spacing w:line="360" w:lineRule="auto"/>
        <w:ind w:firstLine="480"/>
        <w:rPr>
          <w:rFonts w:ascii="宋体" w:hAnsi="宋体" w:cs="宋体"/>
          <w:sz w:val="24"/>
        </w:rPr>
      </w:pPr>
    </w:p>
    <w:p w14:paraId="2F951DE0">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049AD9F">
      <w:pPr>
        <w:pStyle w:val="4"/>
        <w:bidi w:val="0"/>
      </w:pPr>
      <w:bookmarkStart w:id="43" w:name="_Toc1567"/>
      <w:bookmarkStart w:id="44" w:name="_Toc5169"/>
      <w:r>
        <w:rPr>
          <w:rFonts w:hint="eastAsia"/>
        </w:rPr>
        <w:t>九、验收</w:t>
      </w:r>
      <w:bookmarkEnd w:id="43"/>
      <w:bookmarkEnd w:id="44"/>
    </w:p>
    <w:p w14:paraId="0844038F">
      <w:pPr>
        <w:pStyle w:val="5"/>
        <w:bidi w:val="0"/>
      </w:pPr>
      <w:r>
        <w:rPr>
          <w:rFonts w:hint="eastAsia"/>
        </w:rPr>
        <w:t>29.验收</w:t>
      </w:r>
    </w:p>
    <w:bookmarkEnd w:id="20"/>
    <w:bookmarkEnd w:id="21"/>
    <w:bookmarkEnd w:id="36"/>
    <w:p w14:paraId="576516CC">
      <w:pPr>
        <w:tabs>
          <w:tab w:val="left" w:pos="0"/>
        </w:tabs>
        <w:spacing w:line="360" w:lineRule="auto"/>
        <w:ind w:firstLine="480"/>
        <w:rPr>
          <w:rFonts w:ascii="宋体" w:hAnsi="宋体" w:eastAsia="宋体" w:cs="宋体"/>
          <w:b w:val="0"/>
          <w:bCs w:val="0"/>
          <w:color w:val="000000"/>
          <w:sz w:val="24"/>
          <w:szCs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r>
        <w:rPr>
          <w:rFonts w:ascii="宋体" w:hAnsi="宋体" w:eastAsia="宋体" w:cs="宋体"/>
          <w:b w:val="0"/>
          <w:bCs w:val="0"/>
          <w:color w:val="000000"/>
          <w:sz w:val="24"/>
          <w:szCs w:val="24"/>
        </w:rPr>
        <w:t>采购人应当根据采购项目的具体 情况，自行组织项目验收或者委托采购代理机构验收。</w:t>
      </w:r>
    </w:p>
    <w:p w14:paraId="3EDFE217">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14:paraId="3E9B3DB6">
      <w:pPr>
        <w:pStyle w:val="3"/>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3F00D850">
      <w:pPr>
        <w:pStyle w:val="3"/>
        <w:bidi w:val="0"/>
      </w:pPr>
      <w:bookmarkStart w:id="46" w:name="_Toc17402"/>
      <w:bookmarkStart w:id="47" w:name="_Toc28975"/>
      <w:bookmarkStart w:id="48" w:name="_Toc31241"/>
      <w:r>
        <w:rPr>
          <w:rFonts w:hint="eastAsia"/>
        </w:rPr>
        <w:t>第三部分 采购需求</w:t>
      </w:r>
      <w:bookmarkEnd w:id="46"/>
      <w:bookmarkEnd w:id="47"/>
      <w:bookmarkEnd w:id="48"/>
    </w:p>
    <w:p w14:paraId="5100300B">
      <w:pPr>
        <w:ind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一、项目情况</w:t>
      </w:r>
    </w:p>
    <w:p w14:paraId="7C7D6823">
      <w:pPr>
        <w:ind w:firstLine="0" w:firstLineChars="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城东信息系统硬件维保需求：</w:t>
      </w:r>
    </w:p>
    <w:p w14:paraId="227D1AB0">
      <w:pPr>
        <w:ind w:firstLine="480" w:firstLineChars="200"/>
        <w:rPr>
          <w:rFonts w:hint="eastAsia" w:ascii="宋体" w:hAnsi="宋体" w:eastAsia="宋体" w:cs="宋体"/>
          <w:szCs w:val="21"/>
        </w:rPr>
      </w:pPr>
      <w:r>
        <w:rPr>
          <w:rFonts w:hint="eastAsia" w:ascii="宋体" w:hAnsi="宋体" w:eastAsia="宋体" w:cs="宋体"/>
          <w:szCs w:val="21"/>
        </w:rPr>
        <w:t>1、安全设备</w:t>
      </w:r>
      <w:r>
        <w:rPr>
          <w:rFonts w:hint="eastAsia" w:ascii="宋体" w:hAnsi="宋体" w:cs="宋体"/>
          <w:szCs w:val="21"/>
        </w:rPr>
        <w:t>功能</w:t>
      </w:r>
      <w:r>
        <w:rPr>
          <w:rFonts w:hint="eastAsia" w:ascii="宋体" w:hAnsi="宋体" w:eastAsia="宋体" w:cs="宋体"/>
          <w:szCs w:val="21"/>
        </w:rPr>
        <w:t>授权原厂质保及安全运维</w:t>
      </w:r>
      <w:r>
        <w:rPr>
          <w:rFonts w:hint="eastAsia" w:ascii="宋体" w:hAnsi="宋体" w:cs="宋体"/>
          <w:szCs w:val="21"/>
        </w:rPr>
        <w:t>清单</w:t>
      </w:r>
      <w:r>
        <w:rPr>
          <w:rFonts w:hint="eastAsia" w:ascii="宋体" w:hAnsi="宋体" w:eastAsia="宋体" w:cs="宋体"/>
          <w:szCs w:val="21"/>
        </w:rPr>
        <w:t>：</w:t>
      </w:r>
    </w:p>
    <w:tbl>
      <w:tblPr>
        <w:tblStyle w:val="62"/>
        <w:tblW w:w="7938" w:type="dxa"/>
        <w:tblInd w:w="137" w:type="dxa"/>
        <w:tblLayout w:type="autofit"/>
        <w:tblCellMar>
          <w:top w:w="0" w:type="dxa"/>
          <w:left w:w="108" w:type="dxa"/>
          <w:bottom w:w="0" w:type="dxa"/>
          <w:right w:w="108" w:type="dxa"/>
        </w:tblCellMar>
      </w:tblPr>
      <w:tblGrid>
        <w:gridCol w:w="709"/>
        <w:gridCol w:w="3373"/>
        <w:gridCol w:w="1951"/>
        <w:gridCol w:w="1905"/>
      </w:tblGrid>
      <w:tr w14:paraId="3388DB1A">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887F">
            <w:pPr>
              <w:widowControl/>
              <w:ind w:firstLine="0" w:firstLineChars="0"/>
              <w:jc w:val="center"/>
              <w:rPr>
                <w:rFonts w:hint="eastAsia" w:ascii="宋体" w:hAnsi="宋体" w:eastAsia="宋体" w:cs="宋体"/>
                <w:kern w:val="0"/>
                <w:szCs w:val="21"/>
              </w:rPr>
            </w:pPr>
            <w:bookmarkStart w:id="49" w:name="_Hlk195626445"/>
            <w:r>
              <w:rPr>
                <w:rFonts w:hint="eastAsia" w:ascii="宋体" w:hAnsi="宋体" w:eastAsia="宋体" w:cs="宋体"/>
                <w:kern w:val="0"/>
                <w:szCs w:val="21"/>
              </w:rPr>
              <w:t>序号</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5DE7A2C4">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系统名称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37A5C05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41F4947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数量</w:t>
            </w:r>
          </w:p>
        </w:tc>
      </w:tr>
      <w:tr w14:paraId="246B04CE">
        <w:tblPrEx>
          <w:tblCellMar>
            <w:top w:w="0" w:type="dxa"/>
            <w:left w:w="108" w:type="dxa"/>
            <w:bottom w:w="0" w:type="dxa"/>
            <w:right w:w="108" w:type="dxa"/>
          </w:tblCellMar>
        </w:tblPrEx>
        <w:trPr>
          <w:trHeight w:val="234"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3F96A11">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3373" w:type="dxa"/>
            <w:tcBorders>
              <w:top w:val="nil"/>
              <w:left w:val="nil"/>
              <w:bottom w:val="single" w:color="auto" w:sz="4" w:space="0"/>
              <w:right w:val="single" w:color="auto" w:sz="4" w:space="0"/>
            </w:tcBorders>
            <w:shd w:val="clear" w:color="auto" w:fill="auto"/>
            <w:noWrap/>
            <w:vAlign w:val="center"/>
          </w:tcPr>
          <w:p w14:paraId="52221CE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深信服AF-1000-B1310</w:t>
            </w:r>
          </w:p>
        </w:tc>
        <w:tc>
          <w:tcPr>
            <w:tcW w:w="1951" w:type="dxa"/>
            <w:tcBorders>
              <w:top w:val="nil"/>
              <w:left w:val="nil"/>
              <w:bottom w:val="single" w:color="auto" w:sz="4" w:space="0"/>
              <w:right w:val="single" w:color="auto" w:sz="4" w:space="0"/>
            </w:tcBorders>
            <w:shd w:val="clear" w:color="auto" w:fill="auto"/>
            <w:noWrap/>
            <w:vAlign w:val="center"/>
          </w:tcPr>
          <w:p w14:paraId="12852C9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nil"/>
              <w:left w:val="nil"/>
              <w:bottom w:val="single" w:color="auto" w:sz="4" w:space="0"/>
              <w:right w:val="single" w:color="auto" w:sz="4" w:space="0"/>
            </w:tcBorders>
            <w:shd w:val="clear" w:color="auto" w:fill="auto"/>
            <w:noWrap/>
            <w:vAlign w:val="center"/>
          </w:tcPr>
          <w:p w14:paraId="5561B9B7">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4</w:t>
            </w:r>
          </w:p>
        </w:tc>
      </w:tr>
      <w:tr w14:paraId="3EA72333">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07F0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461F09A4">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 xml:space="preserve">深信服AF-1000-B1810 </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71E0748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0351628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w:t>
            </w:r>
          </w:p>
        </w:tc>
      </w:tr>
      <w:tr w14:paraId="1564605D">
        <w:tblPrEx>
          <w:tblCellMar>
            <w:top w:w="0" w:type="dxa"/>
            <w:left w:w="108" w:type="dxa"/>
            <w:bottom w:w="0" w:type="dxa"/>
            <w:right w:w="108" w:type="dxa"/>
          </w:tblCellMar>
        </w:tblPrEx>
        <w:trPr>
          <w:trHeight w:val="30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FBEC4">
            <w:pPr>
              <w:widowControl/>
              <w:ind w:firstLine="0" w:firstLineChars="0"/>
              <w:rPr>
                <w:rFonts w:hint="eastAsia" w:ascii="宋体" w:hAnsi="宋体" w:eastAsia="宋体" w:cs="宋体"/>
                <w:kern w:val="0"/>
                <w:szCs w:val="21"/>
              </w:rPr>
            </w:pPr>
            <w:r>
              <w:rPr>
                <w:rFonts w:hint="eastAsia" w:ascii="宋体" w:hAnsi="宋体" w:eastAsia="宋体" w:cs="宋体"/>
                <w:kern w:val="0"/>
                <w:szCs w:val="21"/>
              </w:rPr>
              <w:t xml:space="preserve">  3</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7904347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深信服AC-1000-B1060</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2F82E05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5BF17DD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5851A4EA">
        <w:tblPrEx>
          <w:tblCellMar>
            <w:top w:w="0" w:type="dxa"/>
            <w:left w:w="108" w:type="dxa"/>
            <w:bottom w:w="0" w:type="dxa"/>
            <w:right w:w="108" w:type="dxa"/>
          </w:tblCellMar>
        </w:tblPrEx>
        <w:trPr>
          <w:trHeight w:val="256"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DE188AF">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4</w:t>
            </w:r>
          </w:p>
        </w:tc>
        <w:tc>
          <w:tcPr>
            <w:tcW w:w="3373" w:type="dxa"/>
            <w:tcBorders>
              <w:top w:val="nil"/>
              <w:left w:val="nil"/>
              <w:bottom w:val="single" w:color="auto" w:sz="4" w:space="0"/>
              <w:right w:val="single" w:color="auto" w:sz="4" w:space="0"/>
            </w:tcBorders>
            <w:shd w:val="clear" w:color="auto" w:fill="auto"/>
            <w:noWrap/>
            <w:vAlign w:val="center"/>
          </w:tcPr>
          <w:p w14:paraId="0ED6DFC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深信服GAP-1000-A600</w:t>
            </w:r>
          </w:p>
        </w:tc>
        <w:tc>
          <w:tcPr>
            <w:tcW w:w="1951" w:type="dxa"/>
            <w:tcBorders>
              <w:top w:val="nil"/>
              <w:left w:val="nil"/>
              <w:bottom w:val="single" w:color="auto" w:sz="4" w:space="0"/>
              <w:right w:val="single" w:color="auto" w:sz="4" w:space="0"/>
            </w:tcBorders>
            <w:shd w:val="clear" w:color="auto" w:fill="auto"/>
            <w:noWrap/>
            <w:vAlign w:val="center"/>
          </w:tcPr>
          <w:p w14:paraId="112DD53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nil"/>
              <w:left w:val="nil"/>
              <w:bottom w:val="single" w:color="auto" w:sz="4" w:space="0"/>
              <w:right w:val="single" w:color="auto" w:sz="4" w:space="0"/>
            </w:tcBorders>
            <w:shd w:val="clear" w:color="auto" w:fill="auto"/>
            <w:noWrap/>
            <w:vAlign w:val="center"/>
          </w:tcPr>
          <w:p w14:paraId="2494045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3CC72B43">
        <w:tblPrEx>
          <w:tblCellMar>
            <w:top w:w="0" w:type="dxa"/>
            <w:left w:w="108" w:type="dxa"/>
            <w:bottom w:w="0" w:type="dxa"/>
            <w:right w:w="108" w:type="dxa"/>
          </w:tblCellMar>
        </w:tblPrEx>
        <w:trPr>
          <w:trHeight w:val="256"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00E6E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5</w:t>
            </w:r>
          </w:p>
        </w:tc>
        <w:tc>
          <w:tcPr>
            <w:tcW w:w="3373" w:type="dxa"/>
            <w:tcBorders>
              <w:top w:val="nil"/>
              <w:left w:val="nil"/>
              <w:bottom w:val="single" w:color="auto" w:sz="4" w:space="0"/>
              <w:right w:val="single" w:color="auto" w:sz="4" w:space="0"/>
            </w:tcBorders>
            <w:shd w:val="clear" w:color="auto" w:fill="auto"/>
            <w:noWrap/>
            <w:vAlign w:val="center"/>
          </w:tcPr>
          <w:p w14:paraId="55A2E991">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深信服OSM-1000-B1150</w:t>
            </w:r>
          </w:p>
        </w:tc>
        <w:tc>
          <w:tcPr>
            <w:tcW w:w="1951" w:type="dxa"/>
            <w:tcBorders>
              <w:top w:val="nil"/>
              <w:left w:val="nil"/>
              <w:bottom w:val="single" w:color="auto" w:sz="4" w:space="0"/>
              <w:right w:val="single" w:color="auto" w:sz="4" w:space="0"/>
            </w:tcBorders>
            <w:shd w:val="clear" w:color="auto" w:fill="auto"/>
            <w:noWrap/>
            <w:vAlign w:val="center"/>
          </w:tcPr>
          <w:p w14:paraId="12662B7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nil"/>
              <w:left w:val="nil"/>
              <w:bottom w:val="single" w:color="auto" w:sz="4" w:space="0"/>
              <w:right w:val="single" w:color="auto" w:sz="4" w:space="0"/>
            </w:tcBorders>
            <w:shd w:val="clear" w:color="auto" w:fill="auto"/>
            <w:noWrap/>
            <w:vAlign w:val="center"/>
          </w:tcPr>
          <w:p w14:paraId="36C6A13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392C2764">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0BC3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6</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031B0DF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深信服aTrust-1000-B1030M</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6329337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431138D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7BF651B1">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9B1C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7</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6545DB18">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深信服SIP-Logger-A600</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3B1E1DFF">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393C0EB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30DC0385">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B8EF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8</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3F49330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火绒终端安全管理系统V2.0</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7636CF48">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套</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2FBAEB27">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4F4D4DDA">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5FEC1">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9</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709AF6BF">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美创防统方系统DRX-ZJZC200</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03F8E5E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7E990477">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39722197">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6209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10</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420C639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美创数据库审计设备DAS-ZJZC200</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7054AC68">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7B66FFD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2A23753F">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5A708">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11</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0F65AFF5">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奇安信医保防火墙 NSG2000-TE40M</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4B1BF98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0B3FD037">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bookmarkEnd w:id="49"/>
    </w:tbl>
    <w:p w14:paraId="34F9CA9F">
      <w:pPr>
        <w:ind w:firstLine="0" w:firstLineChars="0"/>
        <w:rPr>
          <w:rFonts w:hint="eastAsia" w:ascii="宋体" w:hAnsi="宋体" w:eastAsia="宋体" w:cs="宋体"/>
        </w:rPr>
      </w:pPr>
    </w:p>
    <w:p w14:paraId="4FE724F7">
      <w:pPr>
        <w:ind w:firstLine="480" w:firstLineChars="200"/>
        <w:rPr>
          <w:rFonts w:hint="eastAsia" w:ascii="宋体" w:hAnsi="宋体" w:eastAsia="宋体" w:cs="宋体"/>
          <w:szCs w:val="21"/>
        </w:rPr>
      </w:pPr>
      <w:r>
        <w:rPr>
          <w:rFonts w:hint="eastAsia" w:ascii="宋体" w:hAnsi="宋体" w:eastAsia="宋体" w:cs="宋体"/>
        </w:rPr>
        <w:t>2、</w:t>
      </w:r>
      <w:r>
        <w:rPr>
          <w:rFonts w:hint="eastAsia" w:ascii="宋体" w:hAnsi="宋体" w:eastAsia="宋体" w:cs="宋体"/>
          <w:szCs w:val="21"/>
        </w:rPr>
        <w:t>信息设备运维</w:t>
      </w:r>
      <w:r>
        <w:rPr>
          <w:rFonts w:hint="eastAsia" w:ascii="宋体" w:hAnsi="宋体" w:cs="宋体"/>
          <w:szCs w:val="21"/>
        </w:rPr>
        <w:t>（两年）</w:t>
      </w:r>
      <w:r>
        <w:rPr>
          <w:rFonts w:hint="eastAsia" w:ascii="宋体" w:hAnsi="宋体" w:eastAsia="宋体" w:cs="宋体"/>
          <w:szCs w:val="21"/>
        </w:rPr>
        <w:t>需求清单：</w:t>
      </w:r>
    </w:p>
    <w:tbl>
      <w:tblPr>
        <w:tblStyle w:val="62"/>
        <w:tblW w:w="7938" w:type="dxa"/>
        <w:tblInd w:w="137" w:type="dxa"/>
        <w:tblLayout w:type="autofit"/>
        <w:tblCellMar>
          <w:top w:w="0" w:type="dxa"/>
          <w:left w:w="108" w:type="dxa"/>
          <w:bottom w:w="0" w:type="dxa"/>
          <w:right w:w="108" w:type="dxa"/>
        </w:tblCellMar>
      </w:tblPr>
      <w:tblGrid>
        <w:gridCol w:w="709"/>
        <w:gridCol w:w="3373"/>
        <w:gridCol w:w="1951"/>
        <w:gridCol w:w="1905"/>
      </w:tblGrid>
      <w:tr w14:paraId="295E233C">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DFE7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31D5C78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系统名称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372A6CA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69D5865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数量</w:t>
            </w:r>
          </w:p>
        </w:tc>
      </w:tr>
      <w:tr w14:paraId="72EDB83F">
        <w:tblPrEx>
          <w:tblCellMar>
            <w:top w:w="0" w:type="dxa"/>
            <w:left w:w="108" w:type="dxa"/>
            <w:bottom w:w="0" w:type="dxa"/>
            <w:right w:w="108" w:type="dxa"/>
          </w:tblCellMar>
        </w:tblPrEx>
        <w:trPr>
          <w:trHeight w:val="234"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5015AD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3373" w:type="dxa"/>
            <w:tcBorders>
              <w:top w:val="nil"/>
              <w:left w:val="nil"/>
              <w:bottom w:val="single" w:color="auto" w:sz="4" w:space="0"/>
              <w:right w:val="single" w:color="auto" w:sz="4" w:space="0"/>
            </w:tcBorders>
            <w:shd w:val="clear" w:color="auto" w:fill="auto"/>
            <w:noWrap/>
            <w:vAlign w:val="center"/>
          </w:tcPr>
          <w:p w14:paraId="3AF3603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防火墙</w:t>
            </w:r>
          </w:p>
        </w:tc>
        <w:tc>
          <w:tcPr>
            <w:tcW w:w="1951" w:type="dxa"/>
            <w:tcBorders>
              <w:top w:val="nil"/>
              <w:left w:val="nil"/>
              <w:bottom w:val="single" w:color="auto" w:sz="4" w:space="0"/>
              <w:right w:val="single" w:color="auto" w:sz="4" w:space="0"/>
            </w:tcBorders>
            <w:shd w:val="clear" w:color="auto" w:fill="auto"/>
            <w:noWrap/>
            <w:vAlign w:val="center"/>
          </w:tcPr>
          <w:p w14:paraId="4BFDC08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nil"/>
              <w:left w:val="nil"/>
              <w:bottom w:val="single" w:color="auto" w:sz="4" w:space="0"/>
              <w:right w:val="single" w:color="auto" w:sz="4" w:space="0"/>
            </w:tcBorders>
            <w:shd w:val="clear" w:color="auto" w:fill="auto"/>
            <w:noWrap/>
            <w:vAlign w:val="center"/>
          </w:tcPr>
          <w:p w14:paraId="511282BF">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6</w:t>
            </w:r>
          </w:p>
        </w:tc>
      </w:tr>
      <w:tr w14:paraId="3C791EAE">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9CED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71CBB12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 xml:space="preserve">上网行为管理 </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61A9CF5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2CA344B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42B34918">
        <w:tblPrEx>
          <w:tblCellMar>
            <w:top w:w="0" w:type="dxa"/>
            <w:left w:w="108" w:type="dxa"/>
            <w:bottom w:w="0" w:type="dxa"/>
            <w:right w:w="108" w:type="dxa"/>
          </w:tblCellMar>
        </w:tblPrEx>
        <w:trPr>
          <w:trHeight w:val="30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A237F">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3</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3F21E62D">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日志审计</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484248F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15A9361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3413B86A">
        <w:tblPrEx>
          <w:tblCellMar>
            <w:top w:w="0" w:type="dxa"/>
            <w:left w:w="108" w:type="dxa"/>
            <w:bottom w:w="0" w:type="dxa"/>
            <w:right w:w="108" w:type="dxa"/>
          </w:tblCellMar>
        </w:tblPrEx>
        <w:trPr>
          <w:trHeight w:val="256"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87CC1A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4</w:t>
            </w:r>
          </w:p>
        </w:tc>
        <w:tc>
          <w:tcPr>
            <w:tcW w:w="3373" w:type="dxa"/>
            <w:tcBorders>
              <w:top w:val="nil"/>
              <w:left w:val="nil"/>
              <w:bottom w:val="single" w:color="auto" w:sz="4" w:space="0"/>
              <w:right w:val="single" w:color="auto" w:sz="4" w:space="0"/>
            </w:tcBorders>
            <w:shd w:val="clear" w:color="auto" w:fill="auto"/>
            <w:noWrap/>
            <w:vAlign w:val="center"/>
          </w:tcPr>
          <w:p w14:paraId="244B6AEF">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数据库审计</w:t>
            </w:r>
          </w:p>
        </w:tc>
        <w:tc>
          <w:tcPr>
            <w:tcW w:w="1951" w:type="dxa"/>
            <w:tcBorders>
              <w:top w:val="nil"/>
              <w:left w:val="nil"/>
              <w:bottom w:val="single" w:color="auto" w:sz="4" w:space="0"/>
              <w:right w:val="single" w:color="auto" w:sz="4" w:space="0"/>
            </w:tcBorders>
            <w:shd w:val="clear" w:color="auto" w:fill="auto"/>
            <w:noWrap/>
            <w:vAlign w:val="center"/>
          </w:tcPr>
          <w:p w14:paraId="06F75CA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nil"/>
              <w:left w:val="nil"/>
              <w:bottom w:val="single" w:color="auto" w:sz="4" w:space="0"/>
              <w:right w:val="single" w:color="auto" w:sz="4" w:space="0"/>
            </w:tcBorders>
            <w:shd w:val="clear" w:color="auto" w:fill="auto"/>
            <w:noWrap/>
            <w:vAlign w:val="center"/>
          </w:tcPr>
          <w:p w14:paraId="486FC85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025453F4">
        <w:tblPrEx>
          <w:tblCellMar>
            <w:top w:w="0" w:type="dxa"/>
            <w:left w:w="108" w:type="dxa"/>
            <w:bottom w:w="0" w:type="dxa"/>
            <w:right w:w="108" w:type="dxa"/>
          </w:tblCellMar>
        </w:tblPrEx>
        <w:trPr>
          <w:trHeight w:val="256"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A94C1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5</w:t>
            </w:r>
          </w:p>
        </w:tc>
        <w:tc>
          <w:tcPr>
            <w:tcW w:w="3373" w:type="dxa"/>
            <w:tcBorders>
              <w:top w:val="nil"/>
              <w:left w:val="nil"/>
              <w:bottom w:val="single" w:color="auto" w:sz="4" w:space="0"/>
              <w:right w:val="single" w:color="auto" w:sz="4" w:space="0"/>
            </w:tcBorders>
            <w:shd w:val="clear" w:color="auto" w:fill="auto"/>
            <w:noWrap/>
            <w:vAlign w:val="center"/>
          </w:tcPr>
          <w:p w14:paraId="178F35B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堡垒机</w:t>
            </w:r>
          </w:p>
        </w:tc>
        <w:tc>
          <w:tcPr>
            <w:tcW w:w="1951" w:type="dxa"/>
            <w:tcBorders>
              <w:top w:val="nil"/>
              <w:left w:val="nil"/>
              <w:bottom w:val="single" w:color="auto" w:sz="4" w:space="0"/>
              <w:right w:val="single" w:color="auto" w:sz="4" w:space="0"/>
            </w:tcBorders>
            <w:shd w:val="clear" w:color="auto" w:fill="auto"/>
            <w:noWrap/>
            <w:vAlign w:val="center"/>
          </w:tcPr>
          <w:p w14:paraId="5B2C035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nil"/>
              <w:left w:val="nil"/>
              <w:bottom w:val="single" w:color="auto" w:sz="4" w:space="0"/>
              <w:right w:val="single" w:color="auto" w:sz="4" w:space="0"/>
            </w:tcBorders>
            <w:shd w:val="clear" w:color="auto" w:fill="auto"/>
            <w:noWrap/>
            <w:vAlign w:val="center"/>
          </w:tcPr>
          <w:p w14:paraId="1F6820B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277BFCAB">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8F064">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6</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33614725">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零信任设备</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01A9E8C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79F6D31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417181E4">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AD81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7</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34896144">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网闸</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24EFC60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76BC8B3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w:t>
            </w:r>
          </w:p>
        </w:tc>
      </w:tr>
      <w:tr w14:paraId="65331FAC">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3BDA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8</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257693D8">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NTP时钟</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10AAA1B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56D2593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6BED5161">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02B1D">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9</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25782AF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网络核心及汇聚</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32A3E0E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7A65DB0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8</w:t>
            </w:r>
          </w:p>
        </w:tc>
      </w:tr>
      <w:tr w14:paraId="73F3134C">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09F4D">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10</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091AFE5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接入层交换机</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1C30F25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6A6347A7">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24</w:t>
            </w:r>
          </w:p>
        </w:tc>
      </w:tr>
      <w:tr w14:paraId="544621AB">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480F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11</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3B90C47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超融合及物理服务器</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6869BB3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6607F4E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8</w:t>
            </w:r>
          </w:p>
        </w:tc>
      </w:tr>
      <w:tr w14:paraId="6FE785B2">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E093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12</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74FDD67D">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无线设备</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16F71E1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678AF6F1">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全院病区</w:t>
            </w:r>
          </w:p>
        </w:tc>
      </w:tr>
      <w:tr w14:paraId="64BDEA2A">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1CF0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13</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03D05C54">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机房内部UPS</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01C42D84">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0816442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主机及电池</w:t>
            </w:r>
          </w:p>
        </w:tc>
      </w:tr>
      <w:tr w14:paraId="2707BA78">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EB28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14</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25AECCB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数据防统方</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0B393C5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6B9DDE0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r>
      <w:tr w14:paraId="6A4B75D4">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8DF4F">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15</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2F9BBC9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存储</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049F572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6FDF72F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w:t>
            </w:r>
          </w:p>
        </w:tc>
      </w:tr>
      <w:tr w14:paraId="3B78323D">
        <w:tblPrEx>
          <w:tblCellMar>
            <w:top w:w="0" w:type="dxa"/>
            <w:left w:w="108" w:type="dxa"/>
            <w:bottom w:w="0" w:type="dxa"/>
            <w:right w:w="108" w:type="dxa"/>
          </w:tblCellMar>
        </w:tblPrEx>
        <w:trPr>
          <w:trHeight w:val="25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197E7">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16</w:t>
            </w:r>
          </w:p>
        </w:tc>
        <w:tc>
          <w:tcPr>
            <w:tcW w:w="3373" w:type="dxa"/>
            <w:tcBorders>
              <w:top w:val="single" w:color="auto" w:sz="4" w:space="0"/>
              <w:left w:val="nil"/>
              <w:bottom w:val="single" w:color="auto" w:sz="4" w:space="0"/>
              <w:right w:val="single" w:color="auto" w:sz="4" w:space="0"/>
            </w:tcBorders>
            <w:shd w:val="clear" w:color="auto" w:fill="auto"/>
            <w:noWrap/>
            <w:vAlign w:val="center"/>
          </w:tcPr>
          <w:p w14:paraId="565D3E6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终端（包含PC机，服务器）杀毒</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522ED15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69213EE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150</w:t>
            </w:r>
          </w:p>
        </w:tc>
      </w:tr>
    </w:tbl>
    <w:p w14:paraId="4A5A474A">
      <w:pPr>
        <w:ind w:firstLine="0" w:firstLineChars="0"/>
        <w:rPr>
          <w:rFonts w:hint="eastAsia" w:ascii="宋体" w:hAnsi="宋体" w:eastAsia="宋体" w:cs="宋体"/>
        </w:rPr>
      </w:pPr>
    </w:p>
    <w:p w14:paraId="22394F98">
      <w:pPr>
        <w:ind w:firstLine="0" w:firstLineChars="0"/>
      </w:pPr>
      <w:r>
        <w:rPr>
          <w:rFonts w:hint="eastAsia"/>
          <w:lang w:eastAsia="zh-CN"/>
        </w:rPr>
        <w:t>（</w:t>
      </w:r>
      <w:r>
        <w:rPr>
          <w:rFonts w:hint="eastAsia"/>
          <w:lang w:val="en-US" w:eastAsia="zh-CN"/>
        </w:rPr>
        <w:t>2</w:t>
      </w:r>
      <w:r>
        <w:rPr>
          <w:rFonts w:hint="eastAsia"/>
          <w:lang w:eastAsia="zh-CN"/>
        </w:rPr>
        <w:t>）</w:t>
      </w:r>
      <w:r>
        <w:rPr>
          <w:rFonts w:hint="eastAsia"/>
        </w:rPr>
        <w:t>两院区核心业务数据灾备需求：</w:t>
      </w:r>
    </w:p>
    <w:p w14:paraId="7DFB3C9F">
      <w:pPr>
        <w:ind w:firstLine="480" w:firstLineChars="200"/>
      </w:pPr>
      <w:r>
        <w:rPr>
          <w:rFonts w:hint="eastAsia"/>
        </w:rPr>
        <w:t>建设异地HIS数据库容灾双活系统，实现数据零丢失（或最小化丢失）及快速故障切换能力。城东与城西分院间采用灾备专线实现服务器二层链路互通。新增三台容灾服务器。容灾软件一套。</w:t>
      </w:r>
    </w:p>
    <w:p w14:paraId="066FF2C7">
      <w:pPr>
        <w:ind w:firstLine="0" w:firstLineChars="0"/>
      </w:pPr>
      <w:r>
        <w:rPr>
          <w:rFonts w:hint="eastAsia"/>
          <w:lang w:eastAsia="zh-CN"/>
        </w:rPr>
        <w:t>（</w:t>
      </w:r>
      <w:r>
        <w:rPr>
          <w:rFonts w:hint="eastAsia"/>
          <w:lang w:val="en-US" w:eastAsia="zh-CN"/>
        </w:rPr>
        <w:t>3</w:t>
      </w:r>
      <w:r>
        <w:rPr>
          <w:rFonts w:hint="eastAsia"/>
          <w:lang w:eastAsia="zh-CN"/>
        </w:rPr>
        <w:t>）</w:t>
      </w:r>
      <w:r>
        <w:rPr>
          <w:rFonts w:hint="eastAsia"/>
        </w:rPr>
        <w:t>城东信息系统等级保护改建及测评需求：</w:t>
      </w:r>
    </w:p>
    <w:p w14:paraId="38A62DB1">
      <w:pPr>
        <w:rPr>
          <w:rFonts w:hint="eastAsia" w:ascii="宋体" w:hAnsi="宋体" w:eastAsia="宋体" w:cs="宋体"/>
        </w:rPr>
      </w:pPr>
      <w:r>
        <w:rPr>
          <w:rFonts w:hint="eastAsia"/>
          <w:sz w:val="15"/>
          <w:szCs w:val="15"/>
        </w:rPr>
        <w:t xml:space="preserve">  </w:t>
      </w:r>
      <w:r>
        <w:rPr>
          <w:rFonts w:hint="eastAsia" w:ascii="宋体" w:hAnsi="宋体" w:eastAsia="宋体" w:cs="宋体"/>
        </w:rPr>
        <w:t xml:space="preserve"> 1、等保2.0测评需求清单：</w:t>
      </w:r>
    </w:p>
    <w:tbl>
      <w:tblPr>
        <w:tblStyle w:val="62"/>
        <w:tblpPr w:leftFromText="180" w:rightFromText="180" w:vertAnchor="text" w:horzAnchor="margin" w:tblpXSpec="center" w:tblpY="291"/>
        <w:tblOverlap w:val="never"/>
        <w:tblW w:w="7933" w:type="dxa"/>
        <w:tblInd w:w="0" w:type="dxa"/>
        <w:tblLayout w:type="fixed"/>
        <w:tblCellMar>
          <w:top w:w="0" w:type="dxa"/>
          <w:left w:w="108" w:type="dxa"/>
          <w:bottom w:w="0" w:type="dxa"/>
          <w:right w:w="108" w:type="dxa"/>
        </w:tblCellMar>
      </w:tblPr>
      <w:tblGrid>
        <w:gridCol w:w="1230"/>
        <w:gridCol w:w="4500"/>
        <w:gridCol w:w="2203"/>
      </w:tblGrid>
      <w:tr w14:paraId="248765D8">
        <w:tblPrEx>
          <w:tblCellMar>
            <w:top w:w="0" w:type="dxa"/>
            <w:left w:w="108" w:type="dxa"/>
            <w:bottom w:w="0" w:type="dxa"/>
            <w:right w:w="108" w:type="dxa"/>
          </w:tblCellMar>
        </w:tblPrEx>
        <w:trPr>
          <w:trHeight w:val="185" w:hRule="atLeast"/>
        </w:trPr>
        <w:tc>
          <w:tcPr>
            <w:tcW w:w="793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E802FC">
            <w:pPr>
              <w:widowControl/>
              <w:ind w:firstLine="0" w:firstLineChars="0"/>
              <w:jc w:val="center"/>
              <w:rPr>
                <w:rFonts w:hint="eastAsia" w:ascii="宋体" w:hAnsi="宋体" w:eastAsia="宋体" w:cs="宋体"/>
                <w:b w:val="0"/>
                <w:kern w:val="0"/>
                <w:szCs w:val="21"/>
              </w:rPr>
            </w:pPr>
            <w:r>
              <w:rPr>
                <w:rFonts w:hint="eastAsia" w:ascii="宋体" w:hAnsi="宋体" w:eastAsia="宋体" w:cs="宋体"/>
                <w:kern w:val="0"/>
                <w:szCs w:val="21"/>
              </w:rPr>
              <w:t>网络信息安全等级保护测评及服务内容</w:t>
            </w:r>
          </w:p>
        </w:tc>
      </w:tr>
      <w:tr w14:paraId="521C53F5">
        <w:tblPrEx>
          <w:tblCellMar>
            <w:top w:w="0" w:type="dxa"/>
            <w:left w:w="108" w:type="dxa"/>
            <w:bottom w:w="0" w:type="dxa"/>
            <w:right w:w="108" w:type="dxa"/>
          </w:tblCellMar>
        </w:tblPrEx>
        <w:trPr>
          <w:trHeight w:val="185" w:hRule="atLeast"/>
        </w:trPr>
        <w:tc>
          <w:tcPr>
            <w:tcW w:w="793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F784FC">
            <w:pPr>
              <w:widowControl/>
              <w:ind w:firstLine="0" w:firstLineChars="0"/>
              <w:jc w:val="both"/>
              <w:rPr>
                <w:rFonts w:hint="eastAsia" w:ascii="宋体" w:hAnsi="宋体" w:eastAsia="宋体" w:cs="宋体"/>
                <w:kern w:val="0"/>
                <w:szCs w:val="21"/>
              </w:rPr>
            </w:pPr>
            <w:r>
              <w:rPr>
                <w:rFonts w:hint="eastAsia" w:ascii="宋体" w:hAnsi="宋体" w:eastAsia="宋体" w:cs="宋体"/>
                <w:kern w:val="0"/>
                <w:szCs w:val="21"/>
              </w:rPr>
              <w:t>测评内容：</w:t>
            </w:r>
          </w:p>
        </w:tc>
      </w:tr>
      <w:tr w14:paraId="0217BFCC">
        <w:tblPrEx>
          <w:tblCellMar>
            <w:top w:w="0" w:type="dxa"/>
            <w:left w:w="108" w:type="dxa"/>
            <w:bottom w:w="0" w:type="dxa"/>
            <w:right w:w="108" w:type="dxa"/>
          </w:tblCellMar>
        </w:tblPrEx>
        <w:trPr>
          <w:trHeight w:val="18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DE48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4500" w:type="dxa"/>
            <w:tcBorders>
              <w:top w:val="single" w:color="auto" w:sz="4" w:space="0"/>
              <w:left w:val="nil"/>
              <w:bottom w:val="single" w:color="auto" w:sz="4" w:space="0"/>
              <w:right w:val="single" w:color="auto" w:sz="4" w:space="0"/>
            </w:tcBorders>
            <w:shd w:val="clear" w:color="auto" w:fill="auto"/>
            <w:noWrap/>
            <w:vAlign w:val="center"/>
          </w:tcPr>
          <w:p w14:paraId="4E7CE70D">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系统名称</w:t>
            </w:r>
          </w:p>
        </w:tc>
        <w:tc>
          <w:tcPr>
            <w:tcW w:w="2203" w:type="dxa"/>
            <w:tcBorders>
              <w:top w:val="single" w:color="auto" w:sz="4" w:space="0"/>
              <w:left w:val="nil"/>
              <w:bottom w:val="single" w:color="auto" w:sz="4" w:space="0"/>
              <w:right w:val="single" w:color="auto" w:sz="4" w:space="0"/>
            </w:tcBorders>
            <w:shd w:val="clear" w:color="auto" w:fill="auto"/>
            <w:noWrap/>
            <w:vAlign w:val="center"/>
          </w:tcPr>
          <w:p w14:paraId="232B2FF5">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等级保护级别</w:t>
            </w:r>
          </w:p>
        </w:tc>
      </w:tr>
      <w:tr w14:paraId="28C3E7F1">
        <w:tblPrEx>
          <w:tblCellMar>
            <w:top w:w="0" w:type="dxa"/>
            <w:left w:w="108" w:type="dxa"/>
            <w:bottom w:w="0" w:type="dxa"/>
            <w:right w:w="108" w:type="dxa"/>
          </w:tblCellMar>
        </w:tblPrEx>
        <w:trPr>
          <w:trHeight w:val="168"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14:paraId="356B347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4500" w:type="dxa"/>
            <w:tcBorders>
              <w:top w:val="nil"/>
              <w:left w:val="nil"/>
              <w:bottom w:val="single" w:color="auto" w:sz="4" w:space="0"/>
              <w:right w:val="single" w:color="auto" w:sz="4" w:space="0"/>
            </w:tcBorders>
            <w:shd w:val="clear" w:color="auto" w:fill="auto"/>
            <w:noWrap/>
            <w:vAlign w:val="center"/>
          </w:tcPr>
          <w:p w14:paraId="11ABC3E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医院门户网站</w:t>
            </w:r>
          </w:p>
        </w:tc>
        <w:tc>
          <w:tcPr>
            <w:tcW w:w="2203" w:type="dxa"/>
            <w:tcBorders>
              <w:top w:val="nil"/>
              <w:left w:val="nil"/>
              <w:bottom w:val="single" w:color="auto" w:sz="4" w:space="0"/>
              <w:right w:val="single" w:color="auto" w:sz="4" w:space="0"/>
            </w:tcBorders>
            <w:shd w:val="clear" w:color="auto" w:fill="auto"/>
            <w:noWrap/>
            <w:vAlign w:val="center"/>
          </w:tcPr>
          <w:p w14:paraId="0869CD6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2级</w:t>
            </w:r>
          </w:p>
        </w:tc>
      </w:tr>
      <w:tr w14:paraId="70D742EF">
        <w:tblPrEx>
          <w:tblCellMar>
            <w:top w:w="0" w:type="dxa"/>
            <w:left w:w="108" w:type="dxa"/>
            <w:bottom w:w="0" w:type="dxa"/>
            <w:right w:w="108" w:type="dxa"/>
          </w:tblCellMar>
        </w:tblPrEx>
        <w:trPr>
          <w:trHeight w:val="18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CB5E1">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w:t>
            </w:r>
          </w:p>
        </w:tc>
        <w:tc>
          <w:tcPr>
            <w:tcW w:w="4500" w:type="dxa"/>
            <w:tcBorders>
              <w:top w:val="single" w:color="auto" w:sz="4" w:space="0"/>
              <w:left w:val="nil"/>
              <w:bottom w:val="single" w:color="auto" w:sz="4" w:space="0"/>
              <w:right w:val="single" w:color="auto" w:sz="4" w:space="0"/>
            </w:tcBorders>
            <w:shd w:val="clear" w:color="auto" w:fill="auto"/>
            <w:noWrap/>
            <w:vAlign w:val="center"/>
          </w:tcPr>
          <w:p w14:paraId="5FF03B7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面向内部办公系统</w:t>
            </w:r>
          </w:p>
        </w:tc>
        <w:tc>
          <w:tcPr>
            <w:tcW w:w="2203" w:type="dxa"/>
            <w:tcBorders>
              <w:top w:val="single" w:color="auto" w:sz="4" w:space="0"/>
              <w:left w:val="nil"/>
              <w:bottom w:val="single" w:color="auto" w:sz="4" w:space="0"/>
              <w:right w:val="single" w:color="auto" w:sz="4" w:space="0"/>
            </w:tcBorders>
            <w:shd w:val="clear" w:color="auto" w:fill="auto"/>
            <w:noWrap/>
            <w:vAlign w:val="center"/>
          </w:tcPr>
          <w:p w14:paraId="7BD268E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2级</w:t>
            </w:r>
          </w:p>
        </w:tc>
      </w:tr>
      <w:tr w14:paraId="02A4CC88">
        <w:tblPrEx>
          <w:tblCellMar>
            <w:top w:w="0" w:type="dxa"/>
            <w:left w:w="108" w:type="dxa"/>
            <w:bottom w:w="0" w:type="dxa"/>
            <w:right w:w="108" w:type="dxa"/>
          </w:tblCellMar>
        </w:tblPrEx>
        <w:trPr>
          <w:trHeight w:val="18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FF9E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3</w:t>
            </w:r>
          </w:p>
        </w:tc>
        <w:tc>
          <w:tcPr>
            <w:tcW w:w="4500" w:type="dxa"/>
            <w:tcBorders>
              <w:top w:val="single" w:color="auto" w:sz="4" w:space="0"/>
              <w:left w:val="nil"/>
              <w:bottom w:val="single" w:color="auto" w:sz="4" w:space="0"/>
              <w:right w:val="single" w:color="auto" w:sz="4" w:space="0"/>
            </w:tcBorders>
            <w:shd w:val="clear" w:color="auto" w:fill="auto"/>
            <w:noWrap/>
            <w:vAlign w:val="center"/>
          </w:tcPr>
          <w:p w14:paraId="44A3602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面向患者服务系统</w:t>
            </w:r>
          </w:p>
        </w:tc>
        <w:tc>
          <w:tcPr>
            <w:tcW w:w="2203" w:type="dxa"/>
            <w:tcBorders>
              <w:top w:val="single" w:color="auto" w:sz="4" w:space="0"/>
              <w:left w:val="nil"/>
              <w:bottom w:val="single" w:color="auto" w:sz="4" w:space="0"/>
              <w:right w:val="single" w:color="auto" w:sz="4" w:space="0"/>
            </w:tcBorders>
            <w:shd w:val="clear" w:color="auto" w:fill="auto"/>
            <w:noWrap/>
            <w:vAlign w:val="center"/>
          </w:tcPr>
          <w:p w14:paraId="72447A1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2级</w:t>
            </w:r>
          </w:p>
        </w:tc>
      </w:tr>
      <w:tr w14:paraId="0CF979B1">
        <w:tblPrEx>
          <w:tblCellMar>
            <w:top w:w="0" w:type="dxa"/>
            <w:left w:w="108" w:type="dxa"/>
            <w:bottom w:w="0" w:type="dxa"/>
            <w:right w:w="108" w:type="dxa"/>
          </w:tblCellMar>
        </w:tblPrEx>
        <w:trPr>
          <w:trHeight w:val="18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854D4">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4</w:t>
            </w:r>
          </w:p>
        </w:tc>
        <w:tc>
          <w:tcPr>
            <w:tcW w:w="4500" w:type="dxa"/>
            <w:tcBorders>
              <w:top w:val="single" w:color="auto" w:sz="4" w:space="0"/>
              <w:left w:val="nil"/>
              <w:bottom w:val="single" w:color="auto" w:sz="4" w:space="0"/>
              <w:right w:val="single" w:color="auto" w:sz="4" w:space="0"/>
            </w:tcBorders>
            <w:shd w:val="clear" w:color="auto" w:fill="auto"/>
            <w:noWrap/>
            <w:vAlign w:val="center"/>
          </w:tcPr>
          <w:p w14:paraId="14F2E05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基础支撑系统</w:t>
            </w:r>
          </w:p>
        </w:tc>
        <w:tc>
          <w:tcPr>
            <w:tcW w:w="2203" w:type="dxa"/>
            <w:tcBorders>
              <w:top w:val="single" w:color="auto" w:sz="4" w:space="0"/>
              <w:left w:val="nil"/>
              <w:bottom w:val="single" w:color="auto" w:sz="4" w:space="0"/>
              <w:right w:val="single" w:color="auto" w:sz="4" w:space="0"/>
            </w:tcBorders>
            <w:shd w:val="clear" w:color="auto" w:fill="auto"/>
            <w:noWrap/>
            <w:vAlign w:val="center"/>
          </w:tcPr>
          <w:p w14:paraId="481FFA6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3级</w:t>
            </w:r>
          </w:p>
        </w:tc>
      </w:tr>
      <w:tr w14:paraId="42CC4F88">
        <w:tblPrEx>
          <w:tblCellMar>
            <w:top w:w="0" w:type="dxa"/>
            <w:left w:w="108" w:type="dxa"/>
            <w:bottom w:w="0" w:type="dxa"/>
            <w:right w:w="108" w:type="dxa"/>
          </w:tblCellMar>
        </w:tblPrEx>
        <w:trPr>
          <w:trHeight w:val="185" w:hRule="atLeast"/>
        </w:trPr>
        <w:tc>
          <w:tcPr>
            <w:tcW w:w="793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E75F88B">
            <w:pPr>
              <w:widowControl/>
              <w:ind w:firstLine="0" w:firstLineChars="0"/>
              <w:jc w:val="both"/>
              <w:rPr>
                <w:rFonts w:hint="eastAsia" w:ascii="宋体" w:hAnsi="宋体" w:eastAsia="宋体" w:cs="宋体"/>
                <w:kern w:val="0"/>
                <w:szCs w:val="21"/>
              </w:rPr>
            </w:pPr>
            <w:r>
              <w:rPr>
                <w:rFonts w:hint="eastAsia" w:ascii="宋体" w:hAnsi="宋体" w:eastAsia="宋体" w:cs="宋体"/>
                <w:kern w:val="0"/>
                <w:szCs w:val="21"/>
              </w:rPr>
              <w:t>服务内容：</w:t>
            </w:r>
          </w:p>
        </w:tc>
      </w:tr>
      <w:tr w14:paraId="3DB8BC66">
        <w:tblPrEx>
          <w:tblCellMar>
            <w:top w:w="0" w:type="dxa"/>
            <w:left w:w="108" w:type="dxa"/>
            <w:bottom w:w="0" w:type="dxa"/>
            <w:right w:w="108" w:type="dxa"/>
          </w:tblCellMar>
        </w:tblPrEx>
        <w:trPr>
          <w:trHeight w:val="752" w:hRule="atLeast"/>
        </w:trPr>
        <w:tc>
          <w:tcPr>
            <w:tcW w:w="793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85578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1、网络渗透测试服务。2、网络与系统漏洞扫描服务。3、网络安全基线评估。4、攻防、应急演练、每年两次安全培训服务,三级等保评测。5、重要时期安全保障服务。 6、日常应急响应服务。7、网络安全支撑服务（一年）</w:t>
            </w:r>
          </w:p>
        </w:tc>
      </w:tr>
    </w:tbl>
    <w:p w14:paraId="002C5F65">
      <w:pPr>
        <w:ind w:firstLine="0" w:firstLineChars="0"/>
        <w:rPr>
          <w:sz w:val="15"/>
          <w:szCs w:val="15"/>
        </w:rPr>
      </w:pPr>
      <w:r>
        <w:rPr>
          <w:rFonts w:hint="eastAsia"/>
          <w:sz w:val="15"/>
          <w:szCs w:val="15"/>
        </w:rPr>
        <w:t xml:space="preserve">  </w:t>
      </w:r>
    </w:p>
    <w:p w14:paraId="41119B0D">
      <w:pPr>
        <w:ind w:firstLine="0" w:firstLineChars="0"/>
        <w:rPr>
          <w:rFonts w:hint="eastAsia" w:ascii="宋体" w:hAnsi="宋体" w:eastAsia="宋体" w:cs="宋体"/>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7E5B2037">
      <w:pPr>
        <w:ind w:firstLine="0" w:firstLineChars="0"/>
        <w:rPr>
          <w:rFonts w:hint="eastAsia" w:ascii="仿宋" w:hAnsi="仿宋" w:eastAsia="仿宋" w:cs="仿宋"/>
          <w:b/>
          <w:bCs/>
          <w:sz w:val="15"/>
          <w:szCs w:val="15"/>
        </w:rPr>
      </w:pPr>
      <w:r>
        <w:rPr>
          <w:rFonts w:hint="eastAsia" w:ascii="宋体" w:hAnsi="宋体" w:eastAsia="宋体" w:cs="宋体"/>
        </w:rPr>
        <w:t>2、等保2.0整改需求：</w:t>
      </w:r>
    </w:p>
    <w:p w14:paraId="5BB009D3">
      <w:pPr>
        <w:ind w:firstLine="0" w:firstLineChars="0"/>
        <w:rPr>
          <w:rFonts w:hint="eastAsia" w:ascii="宋体" w:hAnsi="宋体" w:eastAsia="宋体" w:cs="宋体"/>
        </w:rPr>
      </w:pPr>
      <w:r>
        <w:rPr>
          <w:rFonts w:hint="eastAsia" w:ascii="宋体" w:hAnsi="宋体" w:eastAsia="宋体" w:cs="宋体"/>
        </w:rPr>
        <w:t>2.1、UPS扩容改造建设需求：</w:t>
      </w:r>
    </w:p>
    <w:tbl>
      <w:tblPr>
        <w:tblStyle w:val="62"/>
        <w:tblpPr w:leftFromText="180" w:rightFromText="180" w:vertAnchor="text" w:horzAnchor="margin" w:tblpX="96" w:tblpY="138"/>
        <w:tblW w:w="8662" w:type="dxa"/>
        <w:tblInd w:w="0" w:type="dxa"/>
        <w:tblLayout w:type="fixed"/>
        <w:tblCellMar>
          <w:top w:w="0" w:type="dxa"/>
          <w:left w:w="108" w:type="dxa"/>
          <w:bottom w:w="0" w:type="dxa"/>
          <w:right w:w="108" w:type="dxa"/>
        </w:tblCellMar>
      </w:tblPr>
      <w:tblGrid>
        <w:gridCol w:w="682"/>
        <w:gridCol w:w="2154"/>
        <w:gridCol w:w="1191"/>
        <w:gridCol w:w="903"/>
        <w:gridCol w:w="709"/>
        <w:gridCol w:w="3023"/>
      </w:tblGrid>
      <w:tr w14:paraId="37B5DD02">
        <w:tblPrEx>
          <w:tblCellMar>
            <w:top w:w="0" w:type="dxa"/>
            <w:left w:w="108" w:type="dxa"/>
            <w:bottom w:w="0" w:type="dxa"/>
            <w:right w:w="108" w:type="dxa"/>
          </w:tblCellMar>
        </w:tblPrEx>
        <w:trPr>
          <w:trHeight w:val="100"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B2887">
            <w:pPr>
              <w:widowControl/>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2154" w:type="dxa"/>
            <w:tcBorders>
              <w:top w:val="single" w:color="auto" w:sz="4" w:space="0"/>
              <w:left w:val="nil"/>
              <w:bottom w:val="single" w:color="auto" w:sz="4" w:space="0"/>
              <w:right w:val="single" w:color="auto" w:sz="4" w:space="0"/>
            </w:tcBorders>
            <w:shd w:val="clear" w:color="auto" w:fill="auto"/>
            <w:noWrap/>
            <w:vAlign w:val="center"/>
          </w:tcPr>
          <w:p w14:paraId="64C11348">
            <w:pPr>
              <w:widowControl/>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名称</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5E0DA25F">
            <w:pPr>
              <w:widowControl/>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参数</w:t>
            </w:r>
          </w:p>
        </w:tc>
        <w:tc>
          <w:tcPr>
            <w:tcW w:w="903" w:type="dxa"/>
            <w:tcBorders>
              <w:top w:val="single" w:color="auto" w:sz="4" w:space="0"/>
              <w:left w:val="nil"/>
              <w:bottom w:val="single" w:color="auto" w:sz="4" w:space="0"/>
              <w:right w:val="single" w:color="auto" w:sz="4" w:space="0"/>
            </w:tcBorders>
            <w:shd w:val="clear" w:color="auto" w:fill="auto"/>
            <w:noWrap/>
            <w:vAlign w:val="center"/>
          </w:tcPr>
          <w:p w14:paraId="4C1B01F5">
            <w:pPr>
              <w:widowControl/>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326FFFA">
            <w:pPr>
              <w:widowControl/>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c>
          <w:tcPr>
            <w:tcW w:w="3023" w:type="dxa"/>
            <w:tcBorders>
              <w:top w:val="single" w:color="auto" w:sz="4" w:space="0"/>
              <w:left w:val="nil"/>
              <w:bottom w:val="single" w:color="auto" w:sz="4" w:space="0"/>
              <w:right w:val="single" w:color="auto" w:sz="4" w:space="0"/>
            </w:tcBorders>
            <w:shd w:val="clear" w:color="auto" w:fill="auto"/>
            <w:noWrap/>
            <w:vAlign w:val="center"/>
          </w:tcPr>
          <w:p w14:paraId="4A36E9D8">
            <w:pPr>
              <w:widowControl/>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备注</w:t>
            </w:r>
          </w:p>
        </w:tc>
      </w:tr>
      <w:tr w14:paraId="4A774886">
        <w:tblPrEx>
          <w:tblCellMar>
            <w:top w:w="0" w:type="dxa"/>
            <w:left w:w="108" w:type="dxa"/>
            <w:bottom w:w="0" w:type="dxa"/>
            <w:right w:w="108" w:type="dxa"/>
          </w:tblCellMar>
        </w:tblPrEx>
        <w:trPr>
          <w:trHeight w:val="90" w:hRule="atLeast"/>
        </w:trPr>
        <w:tc>
          <w:tcPr>
            <w:tcW w:w="8662" w:type="dxa"/>
            <w:gridSpan w:val="6"/>
            <w:tcBorders>
              <w:top w:val="nil"/>
              <w:left w:val="single" w:color="auto" w:sz="4" w:space="0"/>
              <w:bottom w:val="single" w:color="auto" w:sz="4" w:space="0"/>
              <w:right w:val="single" w:color="auto" w:sz="4" w:space="0"/>
            </w:tcBorders>
            <w:shd w:val="clear" w:color="auto" w:fill="auto"/>
            <w:noWrap/>
            <w:vAlign w:val="center"/>
          </w:tcPr>
          <w:p w14:paraId="6A333B4F">
            <w:pPr>
              <w:widowControl/>
              <w:ind w:firstLine="0" w:firstLineChars="0"/>
              <w:rPr>
                <w:rFonts w:hint="eastAsia" w:ascii="宋体" w:hAnsi="宋体" w:eastAsia="宋体" w:cs="宋体"/>
                <w:color w:val="000000"/>
                <w:kern w:val="0"/>
                <w:szCs w:val="21"/>
              </w:rPr>
            </w:pPr>
            <w:r>
              <w:rPr>
                <w:rFonts w:hint="eastAsia" w:ascii="宋体" w:hAnsi="宋体" w:cs="宋体"/>
                <w:color w:val="000000"/>
                <w:kern w:val="0"/>
                <w:szCs w:val="21"/>
              </w:rPr>
              <w:t>设备部分：</w:t>
            </w:r>
          </w:p>
        </w:tc>
      </w:tr>
      <w:tr w14:paraId="62881A59">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56EC71E3">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54" w:type="dxa"/>
            <w:tcBorders>
              <w:top w:val="nil"/>
              <w:left w:val="nil"/>
              <w:bottom w:val="single" w:color="auto" w:sz="4" w:space="0"/>
              <w:right w:val="single" w:color="auto" w:sz="4" w:space="0"/>
            </w:tcBorders>
            <w:shd w:val="clear" w:color="auto" w:fill="auto"/>
            <w:noWrap/>
            <w:vAlign w:val="center"/>
          </w:tcPr>
          <w:p w14:paraId="66B567B7">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UPS主机</w:t>
            </w:r>
          </w:p>
        </w:tc>
        <w:tc>
          <w:tcPr>
            <w:tcW w:w="1191" w:type="dxa"/>
            <w:tcBorders>
              <w:top w:val="nil"/>
              <w:left w:val="nil"/>
              <w:bottom w:val="single" w:color="auto" w:sz="4" w:space="0"/>
              <w:right w:val="single" w:color="auto" w:sz="4" w:space="0"/>
            </w:tcBorders>
            <w:shd w:val="clear" w:color="auto" w:fill="auto"/>
            <w:noWrap/>
            <w:vAlign w:val="center"/>
          </w:tcPr>
          <w:p w14:paraId="5858CF84">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20kva</w:t>
            </w:r>
          </w:p>
        </w:tc>
        <w:tc>
          <w:tcPr>
            <w:tcW w:w="903" w:type="dxa"/>
            <w:tcBorders>
              <w:top w:val="nil"/>
              <w:left w:val="nil"/>
              <w:bottom w:val="single" w:color="auto" w:sz="4" w:space="0"/>
              <w:right w:val="single" w:color="auto" w:sz="4" w:space="0"/>
            </w:tcBorders>
            <w:shd w:val="clear" w:color="auto" w:fill="auto"/>
            <w:noWrap/>
            <w:vAlign w:val="center"/>
          </w:tcPr>
          <w:p w14:paraId="621DD457">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09" w:type="dxa"/>
            <w:tcBorders>
              <w:top w:val="nil"/>
              <w:left w:val="nil"/>
              <w:bottom w:val="single" w:color="auto" w:sz="4" w:space="0"/>
              <w:right w:val="single" w:color="auto" w:sz="4" w:space="0"/>
            </w:tcBorders>
            <w:shd w:val="clear" w:color="auto" w:fill="auto"/>
            <w:noWrap/>
            <w:vAlign w:val="center"/>
          </w:tcPr>
          <w:p w14:paraId="2D680232">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023" w:type="dxa"/>
            <w:tcBorders>
              <w:top w:val="nil"/>
              <w:left w:val="nil"/>
              <w:bottom w:val="single" w:color="auto" w:sz="4" w:space="0"/>
              <w:right w:val="single" w:color="auto" w:sz="4" w:space="0"/>
            </w:tcBorders>
            <w:shd w:val="clear" w:color="auto" w:fill="auto"/>
            <w:noWrap/>
            <w:vAlign w:val="center"/>
          </w:tcPr>
          <w:p w14:paraId="0A2903EC">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2EB6F1D5">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1A67A938">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154" w:type="dxa"/>
            <w:tcBorders>
              <w:top w:val="nil"/>
              <w:left w:val="nil"/>
              <w:bottom w:val="single" w:color="auto" w:sz="4" w:space="0"/>
              <w:right w:val="single" w:color="auto" w:sz="4" w:space="0"/>
            </w:tcBorders>
            <w:shd w:val="clear" w:color="auto" w:fill="auto"/>
            <w:noWrap/>
            <w:vAlign w:val="center"/>
          </w:tcPr>
          <w:p w14:paraId="412F3985">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UPS电池</w:t>
            </w:r>
          </w:p>
        </w:tc>
        <w:tc>
          <w:tcPr>
            <w:tcW w:w="1191" w:type="dxa"/>
            <w:tcBorders>
              <w:top w:val="nil"/>
              <w:left w:val="nil"/>
              <w:bottom w:val="single" w:color="auto" w:sz="4" w:space="0"/>
              <w:right w:val="single" w:color="auto" w:sz="4" w:space="0"/>
            </w:tcBorders>
            <w:shd w:val="clear" w:color="auto" w:fill="auto"/>
            <w:noWrap/>
            <w:vAlign w:val="center"/>
          </w:tcPr>
          <w:p w14:paraId="4BBE7D74">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12v200ah</w:t>
            </w:r>
          </w:p>
        </w:tc>
        <w:tc>
          <w:tcPr>
            <w:tcW w:w="903" w:type="dxa"/>
            <w:tcBorders>
              <w:top w:val="nil"/>
              <w:left w:val="nil"/>
              <w:bottom w:val="single" w:color="auto" w:sz="4" w:space="0"/>
              <w:right w:val="single" w:color="auto" w:sz="4" w:space="0"/>
            </w:tcBorders>
            <w:shd w:val="clear" w:color="auto" w:fill="auto"/>
            <w:noWrap/>
            <w:vAlign w:val="center"/>
          </w:tcPr>
          <w:p w14:paraId="65DFB8AF">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块</w:t>
            </w:r>
          </w:p>
        </w:tc>
        <w:tc>
          <w:tcPr>
            <w:tcW w:w="709" w:type="dxa"/>
            <w:tcBorders>
              <w:top w:val="nil"/>
              <w:left w:val="nil"/>
              <w:bottom w:val="single" w:color="auto" w:sz="4" w:space="0"/>
              <w:right w:val="single" w:color="auto" w:sz="4" w:space="0"/>
            </w:tcBorders>
            <w:shd w:val="clear" w:color="auto" w:fill="auto"/>
            <w:noWrap/>
            <w:vAlign w:val="center"/>
          </w:tcPr>
          <w:p w14:paraId="52BD00D8">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64</w:t>
            </w:r>
          </w:p>
        </w:tc>
        <w:tc>
          <w:tcPr>
            <w:tcW w:w="3023" w:type="dxa"/>
            <w:tcBorders>
              <w:top w:val="nil"/>
              <w:left w:val="nil"/>
              <w:bottom w:val="single" w:color="auto" w:sz="4" w:space="0"/>
              <w:right w:val="single" w:color="auto" w:sz="4" w:space="0"/>
            </w:tcBorders>
            <w:shd w:val="clear" w:color="auto" w:fill="auto"/>
            <w:noWrap/>
            <w:vAlign w:val="center"/>
          </w:tcPr>
          <w:p w14:paraId="37D62E31">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　</w:t>
            </w:r>
          </w:p>
        </w:tc>
      </w:tr>
      <w:tr w14:paraId="03D52366">
        <w:tblPrEx>
          <w:tblCellMar>
            <w:top w:w="0" w:type="dxa"/>
            <w:left w:w="108" w:type="dxa"/>
            <w:bottom w:w="0" w:type="dxa"/>
            <w:right w:w="108" w:type="dxa"/>
          </w:tblCellMar>
        </w:tblPrEx>
        <w:trPr>
          <w:trHeight w:val="90" w:hRule="atLeast"/>
        </w:trPr>
        <w:tc>
          <w:tcPr>
            <w:tcW w:w="8662" w:type="dxa"/>
            <w:gridSpan w:val="6"/>
            <w:tcBorders>
              <w:top w:val="nil"/>
              <w:left w:val="single" w:color="auto" w:sz="4" w:space="0"/>
              <w:bottom w:val="single" w:color="auto" w:sz="4" w:space="0"/>
              <w:right w:val="single" w:color="auto" w:sz="4" w:space="0"/>
            </w:tcBorders>
            <w:shd w:val="clear" w:color="auto" w:fill="auto"/>
            <w:noWrap/>
            <w:vAlign w:val="center"/>
          </w:tcPr>
          <w:p w14:paraId="6FCC1882">
            <w:pPr>
              <w:widowControl/>
              <w:ind w:firstLine="0" w:firstLineChars="0"/>
              <w:rPr>
                <w:rFonts w:hint="eastAsia" w:ascii="宋体" w:hAnsi="宋体" w:cs="宋体"/>
                <w:color w:val="000000"/>
                <w:kern w:val="0"/>
                <w:szCs w:val="21"/>
              </w:rPr>
            </w:pPr>
            <w:r>
              <w:rPr>
                <w:rFonts w:hint="eastAsia" w:ascii="宋体" w:hAnsi="宋体" w:cs="宋体"/>
                <w:color w:val="000000"/>
                <w:kern w:val="0"/>
                <w:szCs w:val="21"/>
              </w:rPr>
              <w:t>UPS间改造部分</w:t>
            </w:r>
          </w:p>
        </w:tc>
      </w:tr>
      <w:tr w14:paraId="6EB76F69">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7D147D30">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54" w:type="dxa"/>
            <w:tcBorders>
              <w:top w:val="nil"/>
              <w:left w:val="nil"/>
              <w:bottom w:val="single" w:color="auto" w:sz="4" w:space="0"/>
              <w:right w:val="single" w:color="auto" w:sz="4" w:space="0"/>
            </w:tcBorders>
            <w:shd w:val="clear" w:color="auto" w:fill="auto"/>
            <w:noWrap/>
            <w:vAlign w:val="center"/>
          </w:tcPr>
          <w:p w14:paraId="7FE77E28">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静电地板</w:t>
            </w:r>
          </w:p>
        </w:tc>
        <w:tc>
          <w:tcPr>
            <w:tcW w:w="1191" w:type="dxa"/>
            <w:tcBorders>
              <w:top w:val="nil"/>
              <w:left w:val="nil"/>
              <w:bottom w:val="single" w:color="auto" w:sz="4" w:space="0"/>
              <w:right w:val="single" w:color="auto" w:sz="4" w:space="0"/>
            </w:tcBorders>
            <w:shd w:val="clear" w:color="auto" w:fill="auto"/>
            <w:noWrap/>
            <w:vAlign w:val="center"/>
          </w:tcPr>
          <w:p w14:paraId="6EDFCF85">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lang w:val="en-US" w:eastAsia="zh-CN"/>
              </w:rPr>
              <w:t>600*600mm</w:t>
            </w:r>
          </w:p>
        </w:tc>
        <w:tc>
          <w:tcPr>
            <w:tcW w:w="903" w:type="dxa"/>
            <w:tcBorders>
              <w:top w:val="nil"/>
              <w:left w:val="nil"/>
              <w:bottom w:val="single" w:color="auto" w:sz="4" w:space="0"/>
              <w:right w:val="single" w:color="auto" w:sz="4" w:space="0"/>
            </w:tcBorders>
            <w:shd w:val="clear" w:color="auto" w:fill="auto"/>
            <w:noWrap/>
            <w:vAlign w:val="center"/>
          </w:tcPr>
          <w:p w14:paraId="1B291F6C">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平方</w:t>
            </w:r>
          </w:p>
        </w:tc>
        <w:tc>
          <w:tcPr>
            <w:tcW w:w="709" w:type="dxa"/>
            <w:tcBorders>
              <w:top w:val="nil"/>
              <w:left w:val="nil"/>
              <w:bottom w:val="single" w:color="auto" w:sz="4" w:space="0"/>
              <w:right w:val="single" w:color="auto" w:sz="4" w:space="0"/>
            </w:tcBorders>
            <w:shd w:val="clear" w:color="auto" w:fill="auto"/>
            <w:noWrap/>
            <w:vAlign w:val="center"/>
          </w:tcPr>
          <w:p w14:paraId="13A740B0">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3023" w:type="dxa"/>
            <w:tcBorders>
              <w:top w:val="nil"/>
              <w:left w:val="nil"/>
              <w:bottom w:val="single" w:color="auto" w:sz="4" w:space="0"/>
              <w:right w:val="single" w:color="auto" w:sz="4" w:space="0"/>
            </w:tcBorders>
            <w:shd w:val="clear" w:color="auto" w:fill="auto"/>
            <w:noWrap/>
            <w:vAlign w:val="center"/>
          </w:tcPr>
          <w:p w14:paraId="12695A3C">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包含支架，横档</w:t>
            </w:r>
          </w:p>
        </w:tc>
      </w:tr>
      <w:tr w14:paraId="26D59A3E">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0E39F127">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154" w:type="dxa"/>
            <w:tcBorders>
              <w:top w:val="nil"/>
              <w:left w:val="nil"/>
              <w:bottom w:val="single" w:color="auto" w:sz="4" w:space="0"/>
              <w:right w:val="single" w:color="auto" w:sz="4" w:space="0"/>
            </w:tcBorders>
            <w:shd w:val="clear" w:color="auto" w:fill="auto"/>
            <w:noWrap/>
            <w:vAlign w:val="center"/>
          </w:tcPr>
          <w:p w14:paraId="1A85CEA0">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墙面及顶面乳胶漆</w:t>
            </w:r>
          </w:p>
        </w:tc>
        <w:tc>
          <w:tcPr>
            <w:tcW w:w="1191" w:type="dxa"/>
            <w:tcBorders>
              <w:top w:val="nil"/>
              <w:left w:val="nil"/>
              <w:bottom w:val="single" w:color="auto" w:sz="4" w:space="0"/>
              <w:right w:val="single" w:color="auto" w:sz="4" w:space="0"/>
            </w:tcBorders>
            <w:shd w:val="clear" w:color="auto" w:fill="auto"/>
            <w:noWrap/>
            <w:vAlign w:val="center"/>
          </w:tcPr>
          <w:p w14:paraId="1A549BBB">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3遍成品</w:t>
            </w:r>
          </w:p>
        </w:tc>
        <w:tc>
          <w:tcPr>
            <w:tcW w:w="903" w:type="dxa"/>
            <w:tcBorders>
              <w:top w:val="nil"/>
              <w:left w:val="nil"/>
              <w:bottom w:val="single" w:color="auto" w:sz="4" w:space="0"/>
              <w:right w:val="single" w:color="auto" w:sz="4" w:space="0"/>
            </w:tcBorders>
            <w:shd w:val="clear" w:color="auto" w:fill="auto"/>
            <w:noWrap/>
            <w:vAlign w:val="center"/>
          </w:tcPr>
          <w:p w14:paraId="3AE712FA">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平方</w:t>
            </w:r>
          </w:p>
        </w:tc>
        <w:tc>
          <w:tcPr>
            <w:tcW w:w="709" w:type="dxa"/>
            <w:tcBorders>
              <w:top w:val="nil"/>
              <w:left w:val="nil"/>
              <w:bottom w:val="single" w:color="auto" w:sz="4" w:space="0"/>
              <w:right w:val="single" w:color="auto" w:sz="4" w:space="0"/>
            </w:tcBorders>
            <w:shd w:val="clear" w:color="auto" w:fill="auto"/>
            <w:noWrap/>
            <w:vAlign w:val="center"/>
          </w:tcPr>
          <w:p w14:paraId="4DCFC395">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220</w:t>
            </w:r>
          </w:p>
        </w:tc>
        <w:tc>
          <w:tcPr>
            <w:tcW w:w="3023" w:type="dxa"/>
            <w:tcBorders>
              <w:top w:val="nil"/>
              <w:left w:val="nil"/>
              <w:bottom w:val="single" w:color="auto" w:sz="4" w:space="0"/>
              <w:right w:val="single" w:color="auto" w:sz="4" w:space="0"/>
            </w:tcBorders>
            <w:shd w:val="clear" w:color="auto" w:fill="auto"/>
            <w:noWrap/>
            <w:vAlign w:val="center"/>
          </w:tcPr>
          <w:p w14:paraId="368EFEE6">
            <w:pPr>
              <w:widowControl/>
              <w:ind w:firstLine="0" w:firstLineChars="0"/>
              <w:jc w:val="center"/>
              <w:rPr>
                <w:rFonts w:hint="eastAsia" w:ascii="宋体" w:hAnsi="宋体" w:cs="宋体"/>
                <w:color w:val="000000"/>
                <w:kern w:val="0"/>
                <w:szCs w:val="21"/>
                <w:highlight w:val="yellow"/>
              </w:rPr>
            </w:pPr>
          </w:p>
        </w:tc>
      </w:tr>
      <w:tr w14:paraId="5B5DE1D2">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6B8B0A72">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54" w:type="dxa"/>
            <w:tcBorders>
              <w:top w:val="nil"/>
              <w:left w:val="nil"/>
              <w:bottom w:val="single" w:color="auto" w:sz="4" w:space="0"/>
              <w:right w:val="single" w:color="auto" w:sz="4" w:space="0"/>
            </w:tcBorders>
            <w:shd w:val="clear" w:color="auto" w:fill="auto"/>
            <w:noWrap/>
            <w:vAlign w:val="center"/>
          </w:tcPr>
          <w:p w14:paraId="57A1630C">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空调</w:t>
            </w:r>
          </w:p>
        </w:tc>
        <w:tc>
          <w:tcPr>
            <w:tcW w:w="1191" w:type="dxa"/>
            <w:tcBorders>
              <w:top w:val="nil"/>
              <w:left w:val="nil"/>
              <w:bottom w:val="single" w:color="auto" w:sz="4" w:space="0"/>
              <w:right w:val="single" w:color="auto" w:sz="4" w:space="0"/>
            </w:tcBorders>
            <w:shd w:val="clear" w:color="auto" w:fill="auto"/>
            <w:noWrap/>
            <w:vAlign w:val="center"/>
          </w:tcPr>
          <w:p w14:paraId="6561A1FE">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2匹</w:t>
            </w:r>
          </w:p>
        </w:tc>
        <w:tc>
          <w:tcPr>
            <w:tcW w:w="903" w:type="dxa"/>
            <w:tcBorders>
              <w:top w:val="nil"/>
              <w:left w:val="nil"/>
              <w:bottom w:val="single" w:color="auto" w:sz="4" w:space="0"/>
              <w:right w:val="single" w:color="auto" w:sz="4" w:space="0"/>
            </w:tcBorders>
            <w:shd w:val="clear" w:color="auto" w:fill="auto"/>
            <w:noWrap/>
            <w:vAlign w:val="center"/>
          </w:tcPr>
          <w:p w14:paraId="6D9076EB">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09" w:type="dxa"/>
            <w:tcBorders>
              <w:top w:val="nil"/>
              <w:left w:val="nil"/>
              <w:bottom w:val="single" w:color="auto" w:sz="4" w:space="0"/>
              <w:right w:val="single" w:color="auto" w:sz="4" w:space="0"/>
            </w:tcBorders>
            <w:shd w:val="clear" w:color="auto" w:fill="auto"/>
            <w:noWrap/>
            <w:vAlign w:val="center"/>
          </w:tcPr>
          <w:p w14:paraId="5A2F19EB">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023" w:type="dxa"/>
            <w:tcBorders>
              <w:top w:val="nil"/>
              <w:left w:val="nil"/>
              <w:bottom w:val="single" w:color="auto" w:sz="4" w:space="0"/>
              <w:right w:val="single" w:color="auto" w:sz="4" w:space="0"/>
            </w:tcBorders>
            <w:shd w:val="clear" w:color="auto" w:fill="auto"/>
            <w:noWrap/>
            <w:vAlign w:val="center"/>
          </w:tcPr>
          <w:p w14:paraId="5C0232A6">
            <w:pPr>
              <w:widowControl/>
              <w:ind w:firstLine="0" w:firstLineChars="0"/>
              <w:jc w:val="center"/>
              <w:rPr>
                <w:rFonts w:hint="eastAsia" w:ascii="宋体" w:hAnsi="宋体" w:cs="宋体"/>
                <w:color w:val="000000"/>
                <w:kern w:val="0"/>
                <w:szCs w:val="21"/>
                <w:highlight w:val="yellow"/>
              </w:rPr>
            </w:pPr>
          </w:p>
        </w:tc>
      </w:tr>
      <w:tr w14:paraId="2191F2A8">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3BAD151F">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154" w:type="dxa"/>
            <w:tcBorders>
              <w:top w:val="nil"/>
              <w:left w:val="nil"/>
              <w:bottom w:val="single" w:color="auto" w:sz="4" w:space="0"/>
              <w:right w:val="single" w:color="auto" w:sz="4" w:space="0"/>
            </w:tcBorders>
            <w:shd w:val="clear" w:color="auto" w:fill="auto"/>
            <w:noWrap/>
            <w:vAlign w:val="center"/>
          </w:tcPr>
          <w:p w14:paraId="406C5F8B">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市电进线箱</w:t>
            </w:r>
          </w:p>
        </w:tc>
        <w:tc>
          <w:tcPr>
            <w:tcW w:w="1191" w:type="dxa"/>
            <w:tcBorders>
              <w:top w:val="nil"/>
              <w:left w:val="nil"/>
              <w:bottom w:val="single" w:color="auto" w:sz="4" w:space="0"/>
              <w:right w:val="single" w:color="auto" w:sz="4" w:space="0"/>
            </w:tcBorders>
            <w:shd w:val="clear" w:color="auto" w:fill="auto"/>
            <w:noWrap/>
            <w:vAlign w:val="center"/>
          </w:tcPr>
          <w:p w14:paraId="5E4CD02B">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UPS输入空开3P63A*1</w:t>
            </w:r>
          </w:p>
          <w:p w14:paraId="4EA5FFD8">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支路空开32A*3，备用16A*3</w:t>
            </w:r>
          </w:p>
          <w:p w14:paraId="189A1D08">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含电量仪，防雷</w:t>
            </w:r>
          </w:p>
        </w:tc>
        <w:tc>
          <w:tcPr>
            <w:tcW w:w="903" w:type="dxa"/>
            <w:tcBorders>
              <w:top w:val="nil"/>
              <w:left w:val="nil"/>
              <w:bottom w:val="single" w:color="auto" w:sz="4" w:space="0"/>
              <w:right w:val="single" w:color="auto" w:sz="4" w:space="0"/>
            </w:tcBorders>
            <w:shd w:val="clear" w:color="auto" w:fill="auto"/>
            <w:noWrap/>
            <w:vAlign w:val="center"/>
          </w:tcPr>
          <w:p w14:paraId="6B5884F6">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09" w:type="dxa"/>
            <w:tcBorders>
              <w:top w:val="nil"/>
              <w:left w:val="nil"/>
              <w:bottom w:val="single" w:color="auto" w:sz="4" w:space="0"/>
              <w:right w:val="single" w:color="auto" w:sz="4" w:space="0"/>
            </w:tcBorders>
            <w:shd w:val="clear" w:color="auto" w:fill="auto"/>
            <w:noWrap/>
            <w:vAlign w:val="center"/>
          </w:tcPr>
          <w:p w14:paraId="3DF1AF07">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023" w:type="dxa"/>
            <w:tcBorders>
              <w:top w:val="nil"/>
              <w:left w:val="nil"/>
              <w:bottom w:val="single" w:color="auto" w:sz="4" w:space="0"/>
              <w:right w:val="single" w:color="auto" w:sz="4" w:space="0"/>
            </w:tcBorders>
            <w:shd w:val="clear" w:color="auto" w:fill="auto"/>
            <w:noWrap/>
            <w:vAlign w:val="center"/>
          </w:tcPr>
          <w:p w14:paraId="7BD47B7A">
            <w:pPr>
              <w:widowControl/>
              <w:ind w:firstLine="0" w:firstLineChars="0"/>
              <w:jc w:val="center"/>
              <w:rPr>
                <w:rFonts w:hint="eastAsia" w:ascii="宋体" w:hAnsi="宋体" w:cs="宋体"/>
                <w:color w:val="000000"/>
                <w:kern w:val="0"/>
                <w:szCs w:val="21"/>
                <w:highlight w:val="yellow"/>
              </w:rPr>
            </w:pPr>
          </w:p>
        </w:tc>
      </w:tr>
      <w:tr w14:paraId="66B2221B">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7716C9E8">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154" w:type="dxa"/>
            <w:tcBorders>
              <w:top w:val="nil"/>
              <w:left w:val="nil"/>
              <w:bottom w:val="single" w:color="auto" w:sz="4" w:space="0"/>
              <w:right w:val="single" w:color="auto" w:sz="4" w:space="0"/>
            </w:tcBorders>
            <w:shd w:val="clear" w:color="auto" w:fill="auto"/>
            <w:noWrap/>
            <w:vAlign w:val="center"/>
          </w:tcPr>
          <w:p w14:paraId="5E9DFE42">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UPS空开箱</w:t>
            </w:r>
          </w:p>
        </w:tc>
        <w:tc>
          <w:tcPr>
            <w:tcW w:w="1191" w:type="dxa"/>
            <w:tcBorders>
              <w:top w:val="nil"/>
              <w:left w:val="nil"/>
              <w:bottom w:val="single" w:color="auto" w:sz="4" w:space="0"/>
              <w:right w:val="single" w:color="auto" w:sz="4" w:space="0"/>
            </w:tcBorders>
            <w:shd w:val="clear" w:color="auto" w:fill="auto"/>
            <w:noWrap/>
            <w:vAlign w:val="center"/>
          </w:tcPr>
          <w:p w14:paraId="44A1FEAD">
            <w:pPr>
              <w:widowControl/>
              <w:spacing w:line="360" w:lineRule="auto"/>
              <w:ind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输入空开63A*1</w:t>
            </w:r>
          </w:p>
          <w:p w14:paraId="30CC20F2">
            <w:pPr>
              <w:widowControl/>
              <w:spacing w:line="360" w:lineRule="auto"/>
              <w:ind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输出分路空开32A*12</w:t>
            </w:r>
          </w:p>
          <w:p w14:paraId="6E3009A8">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含防雷</w:t>
            </w:r>
          </w:p>
        </w:tc>
        <w:tc>
          <w:tcPr>
            <w:tcW w:w="903" w:type="dxa"/>
            <w:tcBorders>
              <w:top w:val="nil"/>
              <w:left w:val="nil"/>
              <w:bottom w:val="single" w:color="auto" w:sz="4" w:space="0"/>
              <w:right w:val="single" w:color="auto" w:sz="4" w:space="0"/>
            </w:tcBorders>
            <w:shd w:val="clear" w:color="auto" w:fill="auto"/>
            <w:noWrap/>
            <w:vAlign w:val="center"/>
          </w:tcPr>
          <w:p w14:paraId="43EF7083">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09" w:type="dxa"/>
            <w:tcBorders>
              <w:top w:val="nil"/>
              <w:left w:val="nil"/>
              <w:bottom w:val="single" w:color="auto" w:sz="4" w:space="0"/>
              <w:right w:val="single" w:color="auto" w:sz="4" w:space="0"/>
            </w:tcBorders>
            <w:shd w:val="clear" w:color="auto" w:fill="auto"/>
            <w:noWrap/>
            <w:vAlign w:val="center"/>
          </w:tcPr>
          <w:p w14:paraId="53BC1C71">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023" w:type="dxa"/>
            <w:tcBorders>
              <w:top w:val="nil"/>
              <w:left w:val="nil"/>
              <w:bottom w:val="single" w:color="auto" w:sz="4" w:space="0"/>
              <w:right w:val="single" w:color="auto" w:sz="4" w:space="0"/>
            </w:tcBorders>
            <w:shd w:val="clear" w:color="auto" w:fill="auto"/>
            <w:noWrap/>
            <w:vAlign w:val="center"/>
          </w:tcPr>
          <w:p w14:paraId="729C067F">
            <w:pPr>
              <w:widowControl/>
              <w:ind w:firstLine="0" w:firstLineChars="0"/>
              <w:jc w:val="center"/>
              <w:rPr>
                <w:rFonts w:hint="eastAsia" w:ascii="宋体" w:hAnsi="宋体" w:cs="宋体"/>
                <w:color w:val="000000"/>
                <w:kern w:val="0"/>
                <w:szCs w:val="21"/>
                <w:highlight w:val="yellow"/>
              </w:rPr>
            </w:pPr>
          </w:p>
        </w:tc>
      </w:tr>
      <w:tr w14:paraId="2A0FB196">
        <w:tblPrEx>
          <w:tblCellMar>
            <w:top w:w="0" w:type="dxa"/>
            <w:left w:w="108" w:type="dxa"/>
            <w:bottom w:w="0" w:type="dxa"/>
            <w:right w:w="108" w:type="dxa"/>
          </w:tblCellMar>
        </w:tblPrEx>
        <w:trPr>
          <w:trHeight w:val="98"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5AD35C45">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54" w:type="dxa"/>
            <w:tcBorders>
              <w:top w:val="nil"/>
              <w:left w:val="nil"/>
              <w:bottom w:val="single" w:color="auto" w:sz="4" w:space="0"/>
              <w:right w:val="single" w:color="auto" w:sz="4" w:space="0"/>
            </w:tcBorders>
            <w:shd w:val="clear" w:color="auto" w:fill="auto"/>
            <w:noWrap/>
            <w:vAlign w:val="center"/>
          </w:tcPr>
          <w:p w14:paraId="4FB8D760">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电力线缆</w:t>
            </w:r>
          </w:p>
        </w:tc>
        <w:tc>
          <w:tcPr>
            <w:tcW w:w="1191" w:type="dxa"/>
            <w:tcBorders>
              <w:top w:val="nil"/>
              <w:left w:val="nil"/>
              <w:bottom w:val="single" w:color="auto" w:sz="4" w:space="0"/>
              <w:right w:val="single" w:color="auto" w:sz="4" w:space="0"/>
            </w:tcBorders>
            <w:shd w:val="clear" w:color="auto" w:fill="auto"/>
            <w:noWrap/>
            <w:vAlign w:val="center"/>
          </w:tcPr>
          <w:p w14:paraId="012B4E0D">
            <w:pPr>
              <w:widowControl/>
              <w:ind w:firstLine="0" w:firstLineChars="0"/>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5*16</w:t>
            </w:r>
            <w:r>
              <w:rPr>
                <w:rFonts w:hint="eastAsia" w:ascii="宋体" w:hAnsi="宋体" w:cs="宋体"/>
                <w:color w:val="auto"/>
                <w:kern w:val="0"/>
                <w:szCs w:val="21"/>
                <w:lang w:val="en-US" w:eastAsia="zh-CN"/>
              </w:rPr>
              <w:t>平方</w:t>
            </w:r>
          </w:p>
        </w:tc>
        <w:tc>
          <w:tcPr>
            <w:tcW w:w="903" w:type="dxa"/>
            <w:tcBorders>
              <w:top w:val="nil"/>
              <w:left w:val="nil"/>
              <w:bottom w:val="single" w:color="auto" w:sz="4" w:space="0"/>
              <w:right w:val="single" w:color="auto" w:sz="4" w:space="0"/>
            </w:tcBorders>
            <w:shd w:val="clear" w:color="auto" w:fill="auto"/>
            <w:noWrap/>
            <w:vAlign w:val="center"/>
          </w:tcPr>
          <w:p w14:paraId="755E09D5">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米</w:t>
            </w:r>
          </w:p>
        </w:tc>
        <w:tc>
          <w:tcPr>
            <w:tcW w:w="709" w:type="dxa"/>
            <w:tcBorders>
              <w:top w:val="nil"/>
              <w:left w:val="nil"/>
              <w:bottom w:val="single" w:color="auto" w:sz="4" w:space="0"/>
              <w:right w:val="single" w:color="auto" w:sz="4" w:space="0"/>
            </w:tcBorders>
            <w:shd w:val="clear" w:color="auto" w:fill="auto"/>
            <w:noWrap/>
            <w:vAlign w:val="center"/>
          </w:tcPr>
          <w:p w14:paraId="33AC2AAA">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3023" w:type="dxa"/>
            <w:tcBorders>
              <w:top w:val="nil"/>
              <w:left w:val="nil"/>
              <w:bottom w:val="single" w:color="auto" w:sz="4" w:space="0"/>
              <w:right w:val="single" w:color="auto" w:sz="4" w:space="0"/>
            </w:tcBorders>
            <w:shd w:val="clear" w:color="auto" w:fill="auto"/>
            <w:noWrap/>
            <w:vAlign w:val="center"/>
          </w:tcPr>
          <w:p w14:paraId="6EED8B8E">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市电至UPS间100米，UPS间至机房100米</w:t>
            </w:r>
          </w:p>
        </w:tc>
      </w:tr>
      <w:tr w14:paraId="42DC9C2F">
        <w:tblPrEx>
          <w:tblCellMar>
            <w:top w:w="0" w:type="dxa"/>
            <w:left w:w="108" w:type="dxa"/>
            <w:bottom w:w="0" w:type="dxa"/>
            <w:right w:w="108" w:type="dxa"/>
          </w:tblCellMar>
        </w:tblPrEx>
        <w:trPr>
          <w:trHeight w:val="90" w:hRule="atLeast"/>
        </w:trPr>
        <w:tc>
          <w:tcPr>
            <w:tcW w:w="8662" w:type="dxa"/>
            <w:gridSpan w:val="6"/>
            <w:tcBorders>
              <w:top w:val="nil"/>
              <w:left w:val="single" w:color="auto" w:sz="4" w:space="0"/>
              <w:bottom w:val="single" w:color="auto" w:sz="4" w:space="0"/>
              <w:right w:val="single" w:color="auto" w:sz="4" w:space="0"/>
            </w:tcBorders>
            <w:shd w:val="clear" w:color="auto" w:fill="auto"/>
            <w:noWrap/>
            <w:vAlign w:val="center"/>
          </w:tcPr>
          <w:p w14:paraId="3274B8A7">
            <w:pPr>
              <w:widowControl/>
              <w:ind w:firstLine="0" w:firstLineChars="0"/>
              <w:rPr>
                <w:rFonts w:hint="eastAsia" w:ascii="宋体" w:hAnsi="宋体" w:eastAsia="宋体" w:cs="宋体"/>
                <w:color w:val="000000"/>
                <w:kern w:val="0"/>
                <w:szCs w:val="21"/>
              </w:rPr>
            </w:pPr>
            <w:r>
              <w:rPr>
                <w:rFonts w:hint="eastAsia" w:ascii="宋体" w:hAnsi="宋体" w:cs="宋体"/>
                <w:color w:val="000000"/>
                <w:kern w:val="0"/>
                <w:szCs w:val="21"/>
              </w:rPr>
              <w:t>机房新增部分：</w:t>
            </w:r>
          </w:p>
        </w:tc>
      </w:tr>
      <w:tr w14:paraId="7AB49805">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2EFA2CF4">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54" w:type="dxa"/>
            <w:tcBorders>
              <w:top w:val="nil"/>
              <w:left w:val="nil"/>
              <w:bottom w:val="single" w:color="auto" w:sz="4" w:space="0"/>
              <w:right w:val="single" w:color="auto" w:sz="4" w:space="0"/>
            </w:tcBorders>
            <w:shd w:val="clear" w:color="auto" w:fill="auto"/>
            <w:noWrap/>
            <w:vAlign w:val="center"/>
          </w:tcPr>
          <w:p w14:paraId="08803B48">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服务器机柜</w:t>
            </w:r>
          </w:p>
        </w:tc>
        <w:tc>
          <w:tcPr>
            <w:tcW w:w="1191" w:type="dxa"/>
            <w:tcBorders>
              <w:top w:val="nil"/>
              <w:left w:val="nil"/>
              <w:bottom w:val="single" w:color="auto" w:sz="4" w:space="0"/>
              <w:right w:val="single" w:color="auto" w:sz="4" w:space="0"/>
            </w:tcBorders>
            <w:shd w:val="clear" w:color="auto" w:fill="auto"/>
            <w:noWrap/>
            <w:vAlign w:val="center"/>
          </w:tcPr>
          <w:p w14:paraId="3A6EE0DE">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903" w:type="dxa"/>
            <w:tcBorders>
              <w:top w:val="nil"/>
              <w:left w:val="nil"/>
              <w:bottom w:val="single" w:color="auto" w:sz="4" w:space="0"/>
              <w:right w:val="single" w:color="auto" w:sz="4" w:space="0"/>
            </w:tcBorders>
            <w:shd w:val="clear" w:color="auto" w:fill="auto"/>
            <w:noWrap/>
            <w:vAlign w:val="center"/>
          </w:tcPr>
          <w:p w14:paraId="4AB588D4">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09" w:type="dxa"/>
            <w:tcBorders>
              <w:top w:val="nil"/>
              <w:left w:val="nil"/>
              <w:bottom w:val="single" w:color="auto" w:sz="4" w:space="0"/>
              <w:right w:val="single" w:color="auto" w:sz="4" w:space="0"/>
            </w:tcBorders>
            <w:shd w:val="clear" w:color="auto" w:fill="auto"/>
            <w:noWrap/>
            <w:vAlign w:val="center"/>
          </w:tcPr>
          <w:p w14:paraId="314F013C">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023" w:type="dxa"/>
            <w:tcBorders>
              <w:top w:val="nil"/>
              <w:left w:val="nil"/>
              <w:bottom w:val="single" w:color="auto" w:sz="4" w:space="0"/>
              <w:right w:val="single" w:color="auto" w:sz="4" w:space="0"/>
            </w:tcBorders>
            <w:shd w:val="clear" w:color="auto" w:fill="auto"/>
            <w:noWrap/>
            <w:vAlign w:val="center"/>
          </w:tcPr>
          <w:p w14:paraId="3EEF3AEE">
            <w:pPr>
              <w:widowControl/>
              <w:ind w:firstLine="0" w:firstLineChars="0"/>
              <w:jc w:val="both"/>
              <w:rPr>
                <w:rFonts w:hint="eastAsia" w:ascii="宋体" w:hAnsi="宋体" w:cs="宋体"/>
                <w:color w:val="000000"/>
                <w:kern w:val="0"/>
                <w:szCs w:val="21"/>
              </w:rPr>
            </w:pPr>
            <w:r>
              <w:rPr>
                <w:rFonts w:hint="eastAsia" w:ascii="宋体" w:hAnsi="宋体" w:cs="宋体"/>
                <w:color w:val="000000"/>
                <w:kern w:val="0"/>
                <w:szCs w:val="21"/>
              </w:rPr>
              <w:t>前门玻璃后门钢板门含固定板3块，风扇4只，电源一套。螺丝40套  600*1200*2000 网络机柜　</w:t>
            </w:r>
          </w:p>
        </w:tc>
      </w:tr>
      <w:tr w14:paraId="247F1C28">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7D38F6AB">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154" w:type="dxa"/>
            <w:tcBorders>
              <w:top w:val="nil"/>
              <w:left w:val="nil"/>
              <w:bottom w:val="single" w:color="auto" w:sz="4" w:space="0"/>
              <w:right w:val="single" w:color="auto" w:sz="4" w:space="0"/>
            </w:tcBorders>
            <w:shd w:val="clear" w:color="auto" w:fill="auto"/>
            <w:noWrap/>
            <w:vAlign w:val="center"/>
          </w:tcPr>
          <w:p w14:paraId="2518A1D0">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服务器PDU</w:t>
            </w:r>
          </w:p>
        </w:tc>
        <w:tc>
          <w:tcPr>
            <w:tcW w:w="1191" w:type="dxa"/>
            <w:tcBorders>
              <w:top w:val="nil"/>
              <w:left w:val="nil"/>
              <w:bottom w:val="single" w:color="auto" w:sz="4" w:space="0"/>
              <w:right w:val="single" w:color="auto" w:sz="4" w:space="0"/>
            </w:tcBorders>
            <w:shd w:val="clear" w:color="auto" w:fill="auto"/>
            <w:noWrap/>
            <w:vAlign w:val="center"/>
          </w:tcPr>
          <w:p w14:paraId="3D04633B">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包含线材</w:t>
            </w:r>
          </w:p>
        </w:tc>
        <w:tc>
          <w:tcPr>
            <w:tcW w:w="903" w:type="dxa"/>
            <w:tcBorders>
              <w:top w:val="nil"/>
              <w:left w:val="nil"/>
              <w:bottom w:val="single" w:color="auto" w:sz="4" w:space="0"/>
              <w:right w:val="single" w:color="auto" w:sz="4" w:space="0"/>
            </w:tcBorders>
            <w:shd w:val="clear" w:color="auto" w:fill="auto"/>
            <w:noWrap/>
            <w:vAlign w:val="center"/>
          </w:tcPr>
          <w:p w14:paraId="6C5FB0E3">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09" w:type="dxa"/>
            <w:tcBorders>
              <w:top w:val="nil"/>
              <w:left w:val="nil"/>
              <w:bottom w:val="single" w:color="auto" w:sz="4" w:space="0"/>
              <w:right w:val="single" w:color="auto" w:sz="4" w:space="0"/>
            </w:tcBorders>
            <w:shd w:val="clear" w:color="auto" w:fill="auto"/>
            <w:noWrap/>
            <w:vAlign w:val="center"/>
          </w:tcPr>
          <w:p w14:paraId="2E11E83B">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023" w:type="dxa"/>
            <w:tcBorders>
              <w:top w:val="nil"/>
              <w:left w:val="nil"/>
              <w:bottom w:val="single" w:color="auto" w:sz="4" w:space="0"/>
              <w:right w:val="single" w:color="auto" w:sz="4" w:space="0"/>
            </w:tcBorders>
            <w:shd w:val="clear" w:color="auto" w:fill="auto"/>
            <w:noWrap/>
            <w:vAlign w:val="center"/>
          </w:tcPr>
          <w:p w14:paraId="0006EB57">
            <w:pPr>
              <w:widowControl/>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　</w:t>
            </w:r>
          </w:p>
        </w:tc>
      </w:tr>
    </w:tbl>
    <w:p w14:paraId="4020358F">
      <w:pPr>
        <w:ind w:firstLine="0" w:firstLineChars="0"/>
        <w:rPr>
          <w:rFonts w:hint="eastAsia" w:ascii="宋体" w:hAnsi="宋体" w:eastAsia="宋体" w:cs="宋体"/>
        </w:rPr>
      </w:pPr>
      <w:r>
        <w:rPr>
          <w:rFonts w:hint="eastAsia" w:ascii="宋体" w:hAnsi="宋体" w:eastAsia="宋体" w:cs="宋体"/>
        </w:rPr>
        <w:t xml:space="preserve"> </w:t>
      </w:r>
      <w:bookmarkStart w:id="50" w:name="_Hlk200914622"/>
    </w:p>
    <w:p w14:paraId="0B06299E">
      <w:pPr>
        <w:rPr>
          <w:sz w:val="15"/>
          <w:szCs w:val="15"/>
        </w:rPr>
      </w:pPr>
      <w:r>
        <w:rPr>
          <w:rFonts w:hint="eastAsia" w:ascii="宋体" w:hAnsi="宋体" w:eastAsia="宋体" w:cs="宋体"/>
        </w:rPr>
        <w:t>2.2、</w:t>
      </w:r>
      <w:bookmarkEnd w:id="50"/>
      <w:r>
        <w:rPr>
          <w:rFonts w:hint="eastAsia" w:ascii="宋体" w:hAnsi="宋体" w:eastAsia="宋体" w:cs="宋体"/>
        </w:rPr>
        <w:t>网络改造及相关设备冗余扩容建设需求：</w:t>
      </w:r>
    </w:p>
    <w:tbl>
      <w:tblPr>
        <w:tblStyle w:val="62"/>
        <w:tblpPr w:leftFromText="180" w:rightFromText="180" w:vertAnchor="text" w:horzAnchor="margin" w:tblpXSpec="right" w:tblpY="291"/>
        <w:tblOverlap w:val="never"/>
        <w:tblW w:w="8372" w:type="dxa"/>
        <w:jc w:val="right"/>
        <w:tblLayout w:type="autofit"/>
        <w:tblCellMar>
          <w:top w:w="0" w:type="dxa"/>
          <w:left w:w="108" w:type="dxa"/>
          <w:bottom w:w="0" w:type="dxa"/>
          <w:right w:w="108" w:type="dxa"/>
        </w:tblCellMar>
      </w:tblPr>
      <w:tblGrid>
        <w:gridCol w:w="662"/>
        <w:gridCol w:w="5967"/>
        <w:gridCol w:w="1743"/>
      </w:tblGrid>
      <w:tr w14:paraId="5AB912E3">
        <w:tblPrEx>
          <w:tblCellMar>
            <w:top w:w="0" w:type="dxa"/>
            <w:left w:w="108" w:type="dxa"/>
            <w:bottom w:w="0" w:type="dxa"/>
            <w:right w:w="108" w:type="dxa"/>
          </w:tblCellMar>
        </w:tblPrEx>
        <w:trPr>
          <w:trHeight w:val="185" w:hRule="atLeast"/>
          <w:jc w:val="righ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8A3D1">
            <w:pPr>
              <w:widowControl/>
              <w:ind w:firstLine="0" w:firstLineChars="0"/>
              <w:jc w:val="center"/>
              <w:rPr>
                <w:rFonts w:hint="eastAsia" w:ascii="宋体" w:hAnsi="宋体" w:eastAsia="宋体" w:cs="宋体"/>
                <w:b/>
                <w:bCs/>
                <w:kern w:val="0"/>
                <w:szCs w:val="24"/>
              </w:rPr>
            </w:pPr>
            <w:r>
              <w:rPr>
                <w:rFonts w:hint="eastAsia" w:ascii="宋体" w:hAnsi="宋体" w:eastAsia="宋体" w:cs="宋体"/>
                <w:b/>
                <w:bCs/>
                <w:kern w:val="0"/>
                <w:szCs w:val="24"/>
              </w:rPr>
              <w:t>序号</w:t>
            </w:r>
          </w:p>
        </w:tc>
        <w:tc>
          <w:tcPr>
            <w:tcW w:w="5967" w:type="dxa"/>
            <w:tcBorders>
              <w:top w:val="single" w:color="auto" w:sz="4" w:space="0"/>
              <w:left w:val="nil"/>
              <w:bottom w:val="single" w:color="auto" w:sz="4" w:space="0"/>
              <w:right w:val="single" w:color="auto" w:sz="4" w:space="0"/>
            </w:tcBorders>
            <w:shd w:val="clear" w:color="auto" w:fill="auto"/>
            <w:noWrap/>
            <w:vAlign w:val="center"/>
          </w:tcPr>
          <w:p w14:paraId="743132CF">
            <w:pPr>
              <w:widowControl/>
              <w:ind w:firstLine="0" w:firstLineChars="0"/>
              <w:jc w:val="center"/>
              <w:rPr>
                <w:rFonts w:hint="eastAsia" w:ascii="宋体" w:hAnsi="宋体" w:eastAsia="宋体" w:cs="宋体"/>
                <w:b/>
                <w:bCs/>
                <w:kern w:val="0"/>
                <w:szCs w:val="24"/>
              </w:rPr>
            </w:pPr>
            <w:r>
              <w:rPr>
                <w:rFonts w:hint="eastAsia" w:ascii="宋体" w:hAnsi="宋体" w:eastAsia="宋体" w:cs="宋体"/>
                <w:b/>
                <w:bCs/>
                <w:kern w:val="0"/>
                <w:szCs w:val="24"/>
              </w:rPr>
              <w:t>设备名称</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1E771DA5">
            <w:pPr>
              <w:widowControl/>
              <w:ind w:firstLine="0" w:firstLineChars="0"/>
              <w:jc w:val="center"/>
              <w:rPr>
                <w:rFonts w:hint="eastAsia" w:ascii="宋体" w:hAnsi="宋体" w:eastAsia="宋体" w:cs="宋体"/>
                <w:b/>
                <w:bCs/>
                <w:kern w:val="0"/>
                <w:szCs w:val="24"/>
              </w:rPr>
            </w:pPr>
            <w:r>
              <w:rPr>
                <w:rFonts w:hint="eastAsia" w:ascii="宋体" w:hAnsi="宋体" w:eastAsia="宋体" w:cs="宋体"/>
                <w:b/>
                <w:bCs/>
                <w:kern w:val="0"/>
                <w:szCs w:val="24"/>
              </w:rPr>
              <w:t>使用位置</w:t>
            </w:r>
          </w:p>
        </w:tc>
      </w:tr>
      <w:tr w14:paraId="32ECF4AD">
        <w:tblPrEx>
          <w:tblCellMar>
            <w:top w:w="0" w:type="dxa"/>
            <w:left w:w="108" w:type="dxa"/>
            <w:bottom w:w="0" w:type="dxa"/>
            <w:right w:w="108" w:type="dxa"/>
          </w:tblCellMar>
        </w:tblPrEx>
        <w:trPr>
          <w:trHeight w:val="185" w:hRule="atLeast"/>
          <w:jc w:val="righ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3FA83">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1</w:t>
            </w:r>
          </w:p>
        </w:tc>
        <w:tc>
          <w:tcPr>
            <w:tcW w:w="5967" w:type="dxa"/>
            <w:tcBorders>
              <w:top w:val="single" w:color="auto" w:sz="4" w:space="0"/>
              <w:left w:val="nil"/>
              <w:bottom w:val="single" w:color="auto" w:sz="4" w:space="0"/>
              <w:right w:val="single" w:color="auto" w:sz="4" w:space="0"/>
            </w:tcBorders>
            <w:shd w:val="clear" w:color="auto" w:fill="auto"/>
            <w:noWrap/>
            <w:vAlign w:val="center"/>
          </w:tcPr>
          <w:p w14:paraId="4C7E438A">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原有HIS迁移服务，聚合支付迁移至新网闸</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22F1D7B5">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内网，外网</w:t>
            </w:r>
          </w:p>
        </w:tc>
      </w:tr>
      <w:tr w14:paraId="2E84E39A">
        <w:tblPrEx>
          <w:tblCellMar>
            <w:top w:w="0" w:type="dxa"/>
            <w:left w:w="108" w:type="dxa"/>
            <w:bottom w:w="0" w:type="dxa"/>
            <w:right w:w="108" w:type="dxa"/>
          </w:tblCellMar>
        </w:tblPrEx>
        <w:trPr>
          <w:trHeight w:val="185" w:hRule="atLeast"/>
          <w:jc w:val="righ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353FC">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2</w:t>
            </w:r>
          </w:p>
        </w:tc>
        <w:tc>
          <w:tcPr>
            <w:tcW w:w="5967" w:type="dxa"/>
            <w:tcBorders>
              <w:top w:val="single" w:color="auto" w:sz="4" w:space="0"/>
              <w:left w:val="nil"/>
              <w:bottom w:val="single" w:color="auto" w:sz="4" w:space="0"/>
              <w:right w:val="single" w:color="auto" w:sz="4" w:space="0"/>
            </w:tcBorders>
            <w:shd w:val="clear" w:color="auto" w:fill="auto"/>
            <w:noWrap/>
            <w:vAlign w:val="center"/>
          </w:tcPr>
          <w:p w14:paraId="2E69BACC">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新增专线防火</w:t>
            </w:r>
            <w:r>
              <w:rPr>
                <w:rFonts w:hint="eastAsia" w:ascii="宋体" w:hAnsi="宋体" w:eastAsia="宋体" w:cs="宋体"/>
                <w:kern w:val="0"/>
                <w:szCs w:val="24"/>
                <w:lang w:val="en-US" w:eastAsia="zh-CN"/>
              </w:rPr>
              <w:t>墙</w:t>
            </w:r>
            <w:r>
              <w:rPr>
                <w:rFonts w:hint="eastAsia" w:ascii="宋体" w:hAnsi="宋体" w:eastAsia="宋体" w:cs="宋体"/>
                <w:kern w:val="0"/>
                <w:szCs w:val="24"/>
              </w:rPr>
              <w:t>一台，与现有隔离区防火墙做双活</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292FEC31">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隔离区</w:t>
            </w:r>
          </w:p>
        </w:tc>
      </w:tr>
      <w:tr w14:paraId="04C69226">
        <w:tblPrEx>
          <w:tblCellMar>
            <w:top w:w="0" w:type="dxa"/>
            <w:left w:w="108" w:type="dxa"/>
            <w:bottom w:w="0" w:type="dxa"/>
            <w:right w:w="108" w:type="dxa"/>
          </w:tblCellMar>
        </w:tblPrEx>
        <w:trPr>
          <w:trHeight w:val="185" w:hRule="atLeast"/>
          <w:jc w:val="righ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C4F95">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3</w:t>
            </w:r>
          </w:p>
        </w:tc>
        <w:tc>
          <w:tcPr>
            <w:tcW w:w="5967" w:type="dxa"/>
            <w:tcBorders>
              <w:top w:val="single" w:color="auto" w:sz="4" w:space="0"/>
              <w:left w:val="nil"/>
              <w:bottom w:val="single" w:color="auto" w:sz="4" w:space="0"/>
              <w:right w:val="single" w:color="auto" w:sz="4" w:space="0"/>
            </w:tcBorders>
            <w:shd w:val="clear" w:color="auto" w:fill="auto"/>
            <w:noWrap/>
            <w:vAlign w:val="center"/>
          </w:tcPr>
          <w:p w14:paraId="4825C94A">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新增上网行为管理一台，与现有上网行为管理做双活</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6CA804A1">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外网</w:t>
            </w:r>
          </w:p>
        </w:tc>
      </w:tr>
      <w:tr w14:paraId="4167F35D">
        <w:tblPrEx>
          <w:tblCellMar>
            <w:top w:w="0" w:type="dxa"/>
            <w:left w:w="108" w:type="dxa"/>
            <w:bottom w:w="0" w:type="dxa"/>
            <w:right w:w="108" w:type="dxa"/>
          </w:tblCellMar>
        </w:tblPrEx>
        <w:trPr>
          <w:trHeight w:val="185" w:hRule="atLeast"/>
          <w:jc w:val="righ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569FC">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4</w:t>
            </w:r>
          </w:p>
        </w:tc>
        <w:tc>
          <w:tcPr>
            <w:tcW w:w="5967" w:type="dxa"/>
            <w:tcBorders>
              <w:top w:val="single" w:color="auto" w:sz="4" w:space="0"/>
              <w:left w:val="nil"/>
              <w:bottom w:val="single" w:color="auto" w:sz="4" w:space="0"/>
              <w:right w:val="single" w:color="auto" w:sz="4" w:space="0"/>
            </w:tcBorders>
            <w:shd w:val="clear" w:color="auto" w:fill="auto"/>
            <w:noWrap/>
            <w:vAlign w:val="center"/>
          </w:tcPr>
          <w:p w14:paraId="121FB37A">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外网杀毒终端安全管理系统+100个Windowns终端授权许可</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65351B5F">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外网</w:t>
            </w:r>
          </w:p>
        </w:tc>
      </w:tr>
      <w:tr w14:paraId="43D4D154">
        <w:tblPrEx>
          <w:tblCellMar>
            <w:top w:w="0" w:type="dxa"/>
            <w:left w:w="108" w:type="dxa"/>
            <w:bottom w:w="0" w:type="dxa"/>
            <w:right w:w="108" w:type="dxa"/>
          </w:tblCellMar>
        </w:tblPrEx>
        <w:trPr>
          <w:trHeight w:val="185" w:hRule="atLeast"/>
          <w:jc w:val="righ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AC208">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5</w:t>
            </w:r>
          </w:p>
        </w:tc>
        <w:tc>
          <w:tcPr>
            <w:tcW w:w="5967" w:type="dxa"/>
            <w:tcBorders>
              <w:top w:val="single" w:color="auto" w:sz="4" w:space="0"/>
              <w:left w:val="nil"/>
              <w:bottom w:val="single" w:color="auto" w:sz="4" w:space="0"/>
              <w:right w:val="single" w:color="auto" w:sz="4" w:space="0"/>
            </w:tcBorders>
            <w:shd w:val="clear" w:color="auto" w:fill="auto"/>
            <w:noWrap/>
            <w:vAlign w:val="center"/>
          </w:tcPr>
          <w:p w14:paraId="03829210">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各信息系统适应性改造</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432A2B88">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内网</w:t>
            </w:r>
          </w:p>
        </w:tc>
      </w:tr>
      <w:tr w14:paraId="333663D1">
        <w:tblPrEx>
          <w:tblCellMar>
            <w:top w:w="0" w:type="dxa"/>
            <w:left w:w="108" w:type="dxa"/>
            <w:bottom w:w="0" w:type="dxa"/>
            <w:right w:w="108" w:type="dxa"/>
          </w:tblCellMar>
        </w:tblPrEx>
        <w:trPr>
          <w:trHeight w:val="185" w:hRule="atLeast"/>
          <w:jc w:val="righ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59E43">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6</w:t>
            </w:r>
          </w:p>
        </w:tc>
        <w:tc>
          <w:tcPr>
            <w:tcW w:w="5967" w:type="dxa"/>
            <w:tcBorders>
              <w:top w:val="single" w:color="auto" w:sz="4" w:space="0"/>
              <w:left w:val="nil"/>
              <w:bottom w:val="single" w:color="auto" w:sz="4" w:space="0"/>
              <w:right w:val="single" w:color="auto" w:sz="4" w:space="0"/>
            </w:tcBorders>
            <w:shd w:val="clear" w:color="auto" w:fill="auto"/>
            <w:noWrap/>
            <w:vAlign w:val="center"/>
          </w:tcPr>
          <w:p w14:paraId="20A563A8">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全院弱电井理线</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03ECEC6A">
            <w:pPr>
              <w:widowControl/>
              <w:ind w:firstLine="0" w:firstLineChars="0"/>
              <w:jc w:val="center"/>
              <w:rPr>
                <w:rFonts w:hint="eastAsia" w:ascii="宋体" w:hAnsi="宋体" w:eastAsia="宋体" w:cs="宋体"/>
                <w:kern w:val="0"/>
                <w:szCs w:val="24"/>
              </w:rPr>
            </w:pPr>
            <w:r>
              <w:rPr>
                <w:rFonts w:hint="eastAsia" w:ascii="宋体" w:hAnsi="宋体" w:eastAsia="宋体" w:cs="宋体"/>
                <w:kern w:val="0"/>
                <w:szCs w:val="24"/>
              </w:rPr>
              <w:t>全院</w:t>
            </w:r>
          </w:p>
        </w:tc>
      </w:tr>
    </w:tbl>
    <w:p w14:paraId="133E89B4">
      <w:pPr>
        <w:ind w:firstLine="0" w:firstLineChars="0"/>
        <w:rPr>
          <w:rFonts w:hint="eastAsia" w:ascii="宋体" w:hAnsi="宋体" w:eastAsia="宋体" w:cs="宋体"/>
        </w:rPr>
      </w:pPr>
    </w:p>
    <w:p w14:paraId="39780729">
      <w:pPr>
        <w:rPr>
          <w:rFonts w:hint="eastAsia" w:ascii="宋体" w:hAnsi="宋体" w:eastAsia="宋体" w:cs="宋体"/>
        </w:rPr>
      </w:pPr>
      <w:r>
        <w:rPr>
          <w:rFonts w:hint="eastAsia" w:ascii="宋体" w:hAnsi="宋体" w:eastAsia="宋体" w:cs="宋体"/>
        </w:rPr>
        <w:t>2.3、数据中心服务器组件安全建设需求：</w:t>
      </w:r>
    </w:p>
    <w:tbl>
      <w:tblPr>
        <w:tblStyle w:val="62"/>
        <w:tblpPr w:leftFromText="180" w:rightFromText="180" w:vertAnchor="text" w:horzAnchor="margin" w:tblpX="141" w:tblpY="291"/>
        <w:tblOverlap w:val="never"/>
        <w:tblW w:w="8372" w:type="dxa"/>
        <w:tblInd w:w="0" w:type="dxa"/>
        <w:tblLayout w:type="autofit"/>
        <w:tblCellMar>
          <w:top w:w="0" w:type="dxa"/>
          <w:left w:w="108" w:type="dxa"/>
          <w:bottom w:w="0" w:type="dxa"/>
          <w:right w:w="108" w:type="dxa"/>
        </w:tblCellMar>
      </w:tblPr>
      <w:tblGrid>
        <w:gridCol w:w="662"/>
        <w:gridCol w:w="6109"/>
        <w:gridCol w:w="1601"/>
      </w:tblGrid>
      <w:tr w14:paraId="05CF1056">
        <w:tblPrEx>
          <w:tblCellMar>
            <w:top w:w="0" w:type="dxa"/>
            <w:left w:w="108" w:type="dxa"/>
            <w:bottom w:w="0" w:type="dxa"/>
            <w:right w:w="108" w:type="dxa"/>
          </w:tblCellMar>
        </w:tblPrEx>
        <w:trPr>
          <w:trHeight w:val="185"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C0EA9">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序号</w:t>
            </w:r>
          </w:p>
        </w:tc>
        <w:tc>
          <w:tcPr>
            <w:tcW w:w="6109" w:type="dxa"/>
            <w:tcBorders>
              <w:top w:val="single" w:color="auto" w:sz="4" w:space="0"/>
              <w:left w:val="nil"/>
              <w:bottom w:val="single" w:color="auto" w:sz="4" w:space="0"/>
              <w:right w:val="single" w:color="auto" w:sz="4" w:space="0"/>
            </w:tcBorders>
            <w:shd w:val="clear" w:color="auto" w:fill="auto"/>
            <w:noWrap/>
            <w:vAlign w:val="center"/>
          </w:tcPr>
          <w:p w14:paraId="78EB4D45">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服务器组件安全建设内容</w:t>
            </w:r>
          </w:p>
        </w:tc>
        <w:tc>
          <w:tcPr>
            <w:tcW w:w="1601" w:type="dxa"/>
            <w:tcBorders>
              <w:top w:val="single" w:color="auto" w:sz="4" w:space="0"/>
              <w:left w:val="nil"/>
              <w:bottom w:val="single" w:color="auto" w:sz="4" w:space="0"/>
              <w:right w:val="single" w:color="auto" w:sz="4" w:space="0"/>
            </w:tcBorders>
            <w:shd w:val="clear" w:color="auto" w:fill="auto"/>
            <w:noWrap/>
            <w:vAlign w:val="center"/>
          </w:tcPr>
          <w:p w14:paraId="76005523">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使用位置</w:t>
            </w:r>
          </w:p>
        </w:tc>
      </w:tr>
      <w:tr w14:paraId="4FC7FDBF">
        <w:tblPrEx>
          <w:tblCellMar>
            <w:top w:w="0" w:type="dxa"/>
            <w:left w:w="108" w:type="dxa"/>
            <w:bottom w:w="0" w:type="dxa"/>
            <w:right w:w="108" w:type="dxa"/>
          </w:tblCellMar>
        </w:tblPrEx>
        <w:trPr>
          <w:trHeight w:val="185"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26704">
            <w:pPr>
              <w:widowControl/>
              <w:ind w:firstLine="0" w:firstLineChars="0"/>
              <w:jc w:val="center"/>
              <w:rPr>
                <w:rFonts w:hint="eastAsia" w:ascii="宋体" w:hAnsi="宋体" w:cs="宋体"/>
                <w:kern w:val="0"/>
                <w:szCs w:val="21"/>
              </w:rPr>
            </w:pPr>
            <w:r>
              <w:rPr>
                <w:rFonts w:hint="eastAsia" w:ascii="宋体" w:hAnsi="宋体" w:cs="宋体"/>
                <w:kern w:val="0"/>
                <w:szCs w:val="21"/>
              </w:rPr>
              <w:t>1</w:t>
            </w:r>
          </w:p>
        </w:tc>
        <w:tc>
          <w:tcPr>
            <w:tcW w:w="6109" w:type="dxa"/>
            <w:tcBorders>
              <w:top w:val="single" w:color="auto" w:sz="4" w:space="0"/>
              <w:left w:val="nil"/>
              <w:bottom w:val="single" w:color="auto" w:sz="4" w:space="0"/>
              <w:right w:val="single" w:color="auto" w:sz="4" w:space="0"/>
            </w:tcBorders>
            <w:shd w:val="clear" w:color="auto" w:fill="auto"/>
            <w:noWrap/>
            <w:vAlign w:val="center"/>
          </w:tcPr>
          <w:p w14:paraId="1E26F200">
            <w:pPr>
              <w:widowControl/>
              <w:ind w:firstLine="0" w:firstLineChars="0"/>
              <w:jc w:val="left"/>
              <w:rPr>
                <w:rFonts w:hint="eastAsia" w:ascii="宋体" w:hAnsi="宋体" w:cs="宋体"/>
                <w:kern w:val="0"/>
                <w:szCs w:val="21"/>
              </w:rPr>
            </w:pPr>
            <w:r>
              <w:rPr>
                <w:rFonts w:hint="eastAsia" w:ascii="宋体" w:hAnsi="宋体" w:cs="宋体"/>
                <w:kern w:val="0"/>
                <w:szCs w:val="21"/>
              </w:rPr>
              <w:t>资产清点：支持清点主机，内核，端口，进程，Web服务，数据库，计划任务，用户等，支持对虚拟机分组，最多支持4层</w:t>
            </w:r>
          </w:p>
        </w:tc>
        <w:tc>
          <w:tcPr>
            <w:tcW w:w="1601" w:type="dxa"/>
            <w:tcBorders>
              <w:top w:val="single" w:color="auto" w:sz="4" w:space="0"/>
              <w:left w:val="nil"/>
              <w:bottom w:val="single" w:color="auto" w:sz="4" w:space="0"/>
              <w:right w:val="single" w:color="auto" w:sz="4" w:space="0"/>
            </w:tcBorders>
            <w:shd w:val="clear" w:color="auto" w:fill="auto"/>
            <w:noWrap/>
            <w:vAlign w:val="center"/>
          </w:tcPr>
          <w:p w14:paraId="571EB30E">
            <w:pPr>
              <w:widowControl/>
              <w:ind w:firstLine="0" w:firstLineChars="0"/>
              <w:jc w:val="center"/>
              <w:rPr>
                <w:rFonts w:hint="eastAsia" w:ascii="宋体" w:hAnsi="宋体" w:cs="宋体"/>
                <w:kern w:val="0"/>
                <w:szCs w:val="21"/>
              </w:rPr>
            </w:pPr>
            <w:r>
              <w:rPr>
                <w:rFonts w:hint="eastAsia" w:ascii="宋体" w:hAnsi="宋体" w:cs="宋体"/>
                <w:kern w:val="0"/>
                <w:szCs w:val="21"/>
              </w:rPr>
              <w:t>服务器区域</w:t>
            </w:r>
          </w:p>
        </w:tc>
      </w:tr>
      <w:tr w14:paraId="76509C00">
        <w:tblPrEx>
          <w:tblCellMar>
            <w:top w:w="0" w:type="dxa"/>
            <w:left w:w="108" w:type="dxa"/>
            <w:bottom w:w="0" w:type="dxa"/>
            <w:right w:w="108" w:type="dxa"/>
          </w:tblCellMar>
        </w:tblPrEx>
        <w:trPr>
          <w:trHeight w:val="185"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E642C">
            <w:pPr>
              <w:widowControl/>
              <w:ind w:firstLine="0" w:firstLineChars="0"/>
              <w:jc w:val="center"/>
              <w:rPr>
                <w:rFonts w:hint="eastAsia" w:ascii="宋体" w:hAnsi="宋体" w:cs="宋体"/>
                <w:kern w:val="0"/>
                <w:szCs w:val="21"/>
              </w:rPr>
            </w:pPr>
            <w:r>
              <w:rPr>
                <w:rFonts w:hint="eastAsia" w:ascii="宋体" w:hAnsi="宋体" w:cs="宋体"/>
                <w:kern w:val="0"/>
                <w:szCs w:val="21"/>
              </w:rPr>
              <w:t>2</w:t>
            </w:r>
          </w:p>
        </w:tc>
        <w:tc>
          <w:tcPr>
            <w:tcW w:w="6109" w:type="dxa"/>
            <w:tcBorders>
              <w:top w:val="single" w:color="auto" w:sz="4" w:space="0"/>
              <w:left w:val="nil"/>
              <w:bottom w:val="single" w:color="auto" w:sz="4" w:space="0"/>
              <w:right w:val="single" w:color="auto" w:sz="4" w:space="0"/>
            </w:tcBorders>
            <w:shd w:val="clear" w:color="auto" w:fill="auto"/>
            <w:noWrap/>
            <w:vAlign w:val="center"/>
          </w:tcPr>
          <w:p w14:paraId="2E35D962">
            <w:pPr>
              <w:widowControl/>
              <w:ind w:firstLine="0" w:firstLineChars="0"/>
              <w:rPr>
                <w:rFonts w:hint="eastAsia" w:ascii="宋体" w:hAnsi="宋体" w:cs="宋体"/>
                <w:kern w:val="0"/>
                <w:szCs w:val="21"/>
              </w:rPr>
            </w:pPr>
            <w:r>
              <w:rPr>
                <w:rFonts w:hint="eastAsia" w:ascii="宋体" w:hAnsi="宋体" w:cs="宋体"/>
                <w:kern w:val="0"/>
                <w:szCs w:val="21"/>
              </w:rPr>
              <w:t>主机加固：漏洞管理，弱口令检测，合规基线</w:t>
            </w:r>
          </w:p>
        </w:tc>
        <w:tc>
          <w:tcPr>
            <w:tcW w:w="1601" w:type="dxa"/>
            <w:tcBorders>
              <w:top w:val="single" w:color="auto" w:sz="4" w:space="0"/>
              <w:left w:val="nil"/>
              <w:bottom w:val="single" w:color="auto" w:sz="4" w:space="0"/>
              <w:right w:val="single" w:color="auto" w:sz="4" w:space="0"/>
            </w:tcBorders>
            <w:shd w:val="clear" w:color="auto" w:fill="auto"/>
            <w:noWrap/>
            <w:vAlign w:val="center"/>
          </w:tcPr>
          <w:p w14:paraId="62E13F91">
            <w:pPr>
              <w:widowControl/>
              <w:ind w:firstLine="0" w:firstLineChars="0"/>
              <w:jc w:val="center"/>
              <w:rPr>
                <w:rFonts w:hint="eastAsia" w:ascii="宋体" w:hAnsi="宋体" w:cs="宋体"/>
                <w:kern w:val="0"/>
                <w:szCs w:val="21"/>
              </w:rPr>
            </w:pPr>
            <w:r>
              <w:rPr>
                <w:rFonts w:hint="eastAsia" w:ascii="宋体" w:hAnsi="宋体" w:cs="宋体"/>
                <w:kern w:val="0"/>
                <w:szCs w:val="21"/>
              </w:rPr>
              <w:t>服务器区域</w:t>
            </w:r>
          </w:p>
        </w:tc>
      </w:tr>
      <w:tr w14:paraId="34DC1C0E">
        <w:tblPrEx>
          <w:tblCellMar>
            <w:top w:w="0" w:type="dxa"/>
            <w:left w:w="108" w:type="dxa"/>
            <w:bottom w:w="0" w:type="dxa"/>
            <w:right w:w="108" w:type="dxa"/>
          </w:tblCellMar>
        </w:tblPrEx>
        <w:trPr>
          <w:trHeight w:val="185"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DB5A6">
            <w:pPr>
              <w:widowControl/>
              <w:ind w:firstLine="0" w:firstLineChars="0"/>
              <w:jc w:val="center"/>
              <w:rPr>
                <w:rFonts w:hint="eastAsia" w:ascii="宋体" w:hAnsi="宋体" w:cs="宋体"/>
                <w:kern w:val="0"/>
                <w:szCs w:val="21"/>
              </w:rPr>
            </w:pPr>
            <w:r>
              <w:rPr>
                <w:rFonts w:hint="eastAsia" w:ascii="宋体" w:hAnsi="宋体" w:cs="宋体"/>
                <w:kern w:val="0"/>
                <w:szCs w:val="21"/>
              </w:rPr>
              <w:t>3</w:t>
            </w:r>
          </w:p>
        </w:tc>
        <w:tc>
          <w:tcPr>
            <w:tcW w:w="6109" w:type="dxa"/>
            <w:tcBorders>
              <w:top w:val="single" w:color="auto" w:sz="4" w:space="0"/>
              <w:left w:val="nil"/>
              <w:bottom w:val="single" w:color="auto" w:sz="4" w:space="0"/>
              <w:right w:val="single" w:color="auto" w:sz="4" w:space="0"/>
            </w:tcBorders>
            <w:shd w:val="clear" w:color="auto" w:fill="auto"/>
            <w:noWrap/>
            <w:vAlign w:val="center"/>
          </w:tcPr>
          <w:p w14:paraId="2AAE4858">
            <w:pPr>
              <w:widowControl/>
              <w:ind w:firstLine="0" w:firstLineChars="0"/>
              <w:jc w:val="left"/>
              <w:rPr>
                <w:rFonts w:hint="eastAsia" w:ascii="宋体" w:hAnsi="宋体" w:cs="宋体"/>
                <w:kern w:val="0"/>
                <w:szCs w:val="21"/>
              </w:rPr>
            </w:pPr>
            <w:r>
              <w:rPr>
                <w:rFonts w:hint="eastAsia" w:ascii="宋体" w:hAnsi="宋体" w:cs="宋体"/>
                <w:kern w:val="0"/>
                <w:szCs w:val="21"/>
              </w:rPr>
              <w:t xml:space="preserve">完整性监控：监视主机关键目录，文件，注册表的更改，变动 </w:t>
            </w:r>
          </w:p>
        </w:tc>
        <w:tc>
          <w:tcPr>
            <w:tcW w:w="1601" w:type="dxa"/>
            <w:tcBorders>
              <w:top w:val="single" w:color="auto" w:sz="4" w:space="0"/>
              <w:left w:val="nil"/>
              <w:bottom w:val="single" w:color="auto" w:sz="4" w:space="0"/>
              <w:right w:val="single" w:color="auto" w:sz="4" w:space="0"/>
            </w:tcBorders>
            <w:shd w:val="clear" w:color="auto" w:fill="auto"/>
            <w:noWrap/>
            <w:vAlign w:val="center"/>
          </w:tcPr>
          <w:p w14:paraId="7B1A23CB">
            <w:pPr>
              <w:widowControl/>
              <w:ind w:firstLine="0" w:firstLineChars="0"/>
              <w:jc w:val="center"/>
              <w:rPr>
                <w:rFonts w:hint="eastAsia" w:ascii="宋体" w:hAnsi="宋体" w:cs="宋体"/>
                <w:kern w:val="0"/>
                <w:szCs w:val="21"/>
              </w:rPr>
            </w:pPr>
            <w:r>
              <w:rPr>
                <w:rFonts w:hint="eastAsia" w:ascii="宋体" w:hAnsi="宋体" w:cs="宋体"/>
                <w:kern w:val="0"/>
                <w:szCs w:val="21"/>
              </w:rPr>
              <w:t>服务器区域</w:t>
            </w:r>
          </w:p>
        </w:tc>
      </w:tr>
      <w:tr w14:paraId="3ACE3D25">
        <w:tblPrEx>
          <w:tblCellMar>
            <w:top w:w="0" w:type="dxa"/>
            <w:left w:w="108" w:type="dxa"/>
            <w:bottom w:w="0" w:type="dxa"/>
            <w:right w:w="108" w:type="dxa"/>
          </w:tblCellMar>
        </w:tblPrEx>
        <w:trPr>
          <w:trHeight w:val="185"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27364">
            <w:pPr>
              <w:widowControl/>
              <w:ind w:firstLine="0" w:firstLineChars="0"/>
              <w:jc w:val="center"/>
              <w:rPr>
                <w:rFonts w:hint="eastAsia" w:ascii="宋体" w:hAnsi="宋体" w:cs="宋体"/>
                <w:kern w:val="0"/>
                <w:szCs w:val="21"/>
              </w:rPr>
            </w:pPr>
            <w:r>
              <w:rPr>
                <w:rFonts w:hint="eastAsia" w:ascii="宋体" w:hAnsi="宋体" w:cs="宋体"/>
                <w:kern w:val="0"/>
                <w:szCs w:val="21"/>
              </w:rPr>
              <w:t>4</w:t>
            </w:r>
          </w:p>
        </w:tc>
        <w:tc>
          <w:tcPr>
            <w:tcW w:w="6109" w:type="dxa"/>
            <w:tcBorders>
              <w:top w:val="single" w:color="auto" w:sz="4" w:space="0"/>
              <w:left w:val="nil"/>
              <w:bottom w:val="single" w:color="auto" w:sz="4" w:space="0"/>
              <w:right w:val="single" w:color="auto" w:sz="4" w:space="0"/>
            </w:tcBorders>
            <w:shd w:val="clear" w:color="auto" w:fill="auto"/>
            <w:noWrap/>
            <w:vAlign w:val="center"/>
          </w:tcPr>
          <w:p w14:paraId="132191DB">
            <w:pPr>
              <w:widowControl/>
              <w:ind w:firstLine="0" w:firstLineChars="0"/>
              <w:jc w:val="both"/>
              <w:rPr>
                <w:rFonts w:hint="eastAsia" w:ascii="宋体" w:hAnsi="宋体" w:cs="宋体"/>
                <w:kern w:val="0"/>
                <w:szCs w:val="21"/>
              </w:rPr>
            </w:pPr>
            <w:r>
              <w:rPr>
                <w:rFonts w:hint="eastAsia" w:ascii="宋体" w:hAnsi="宋体" w:cs="宋体"/>
                <w:kern w:val="0"/>
                <w:szCs w:val="21"/>
              </w:rPr>
              <w:t>防病毒+webshell：支持对服务器主机内部文件进行病毒查杀，支持对木马病毒、勒索病毒、挖矿病毒、蠕虫病毒、后门病毒。</w:t>
            </w:r>
          </w:p>
        </w:tc>
        <w:tc>
          <w:tcPr>
            <w:tcW w:w="1601" w:type="dxa"/>
            <w:tcBorders>
              <w:top w:val="single" w:color="auto" w:sz="4" w:space="0"/>
              <w:left w:val="nil"/>
              <w:bottom w:val="single" w:color="auto" w:sz="4" w:space="0"/>
              <w:right w:val="single" w:color="auto" w:sz="4" w:space="0"/>
            </w:tcBorders>
            <w:shd w:val="clear" w:color="auto" w:fill="auto"/>
            <w:noWrap/>
            <w:vAlign w:val="center"/>
          </w:tcPr>
          <w:p w14:paraId="09E53FD3">
            <w:pPr>
              <w:widowControl/>
              <w:ind w:firstLine="0" w:firstLineChars="0"/>
              <w:jc w:val="center"/>
              <w:rPr>
                <w:rFonts w:hint="eastAsia" w:ascii="宋体" w:hAnsi="宋体" w:cs="宋体"/>
                <w:kern w:val="0"/>
                <w:szCs w:val="21"/>
              </w:rPr>
            </w:pPr>
            <w:r>
              <w:rPr>
                <w:rFonts w:hint="eastAsia" w:ascii="宋体" w:hAnsi="宋体" w:cs="宋体"/>
                <w:kern w:val="0"/>
                <w:szCs w:val="21"/>
              </w:rPr>
              <w:t>服务器区域</w:t>
            </w:r>
          </w:p>
        </w:tc>
      </w:tr>
      <w:tr w14:paraId="084CFEE3">
        <w:tblPrEx>
          <w:tblCellMar>
            <w:top w:w="0" w:type="dxa"/>
            <w:left w:w="108" w:type="dxa"/>
            <w:bottom w:w="0" w:type="dxa"/>
            <w:right w:w="108" w:type="dxa"/>
          </w:tblCellMar>
        </w:tblPrEx>
        <w:trPr>
          <w:trHeight w:val="185"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7FA20">
            <w:pPr>
              <w:widowControl/>
              <w:ind w:firstLine="0" w:firstLineChars="0"/>
              <w:jc w:val="center"/>
              <w:rPr>
                <w:rFonts w:hint="eastAsia" w:ascii="宋体" w:hAnsi="宋体" w:cs="宋体"/>
                <w:kern w:val="0"/>
                <w:szCs w:val="21"/>
              </w:rPr>
            </w:pPr>
            <w:r>
              <w:rPr>
                <w:rFonts w:hint="eastAsia" w:ascii="宋体" w:hAnsi="宋体" w:cs="宋体"/>
                <w:kern w:val="0"/>
                <w:szCs w:val="21"/>
              </w:rPr>
              <w:t>5</w:t>
            </w:r>
          </w:p>
        </w:tc>
        <w:tc>
          <w:tcPr>
            <w:tcW w:w="6109" w:type="dxa"/>
            <w:tcBorders>
              <w:top w:val="single" w:color="auto" w:sz="4" w:space="0"/>
              <w:left w:val="nil"/>
              <w:bottom w:val="single" w:color="auto" w:sz="4" w:space="0"/>
              <w:right w:val="single" w:color="auto" w:sz="4" w:space="0"/>
            </w:tcBorders>
            <w:shd w:val="clear" w:color="auto" w:fill="auto"/>
            <w:noWrap/>
            <w:vAlign w:val="center"/>
          </w:tcPr>
          <w:p w14:paraId="7D73578B">
            <w:pPr>
              <w:widowControl/>
              <w:ind w:firstLine="0" w:firstLineChars="0"/>
              <w:jc w:val="left"/>
              <w:rPr>
                <w:rFonts w:hint="eastAsia" w:ascii="宋体" w:hAnsi="宋体" w:cs="宋体"/>
                <w:kern w:val="0"/>
                <w:szCs w:val="21"/>
              </w:rPr>
            </w:pPr>
            <w:r>
              <w:rPr>
                <w:rFonts w:hint="eastAsia" w:ascii="宋体" w:hAnsi="宋体" w:cs="宋体"/>
                <w:kern w:val="0"/>
                <w:szCs w:val="21"/>
              </w:rPr>
              <w:t>微隔离：支持主机（含虚机、物理机）之间的流量识别，能绘制主机间访问关系拓扑视图。支持对单个主机、多个主机和某业务组主机进行隔离策略配置，并支持策略的启用和停用，支持记录被阻断的访问，阻断信息包含来源IP、次数、时间等。</w:t>
            </w:r>
          </w:p>
        </w:tc>
        <w:tc>
          <w:tcPr>
            <w:tcW w:w="1601" w:type="dxa"/>
            <w:tcBorders>
              <w:top w:val="single" w:color="auto" w:sz="4" w:space="0"/>
              <w:left w:val="nil"/>
              <w:bottom w:val="single" w:color="auto" w:sz="4" w:space="0"/>
              <w:right w:val="single" w:color="auto" w:sz="4" w:space="0"/>
            </w:tcBorders>
            <w:shd w:val="clear" w:color="auto" w:fill="auto"/>
            <w:noWrap/>
            <w:vAlign w:val="center"/>
          </w:tcPr>
          <w:p w14:paraId="4CF258FF">
            <w:pPr>
              <w:widowControl/>
              <w:ind w:firstLine="0" w:firstLineChars="0"/>
              <w:jc w:val="center"/>
              <w:rPr>
                <w:rFonts w:hint="eastAsia" w:ascii="宋体" w:hAnsi="宋体" w:cs="宋体"/>
                <w:kern w:val="0"/>
                <w:szCs w:val="21"/>
              </w:rPr>
            </w:pPr>
            <w:r>
              <w:rPr>
                <w:rFonts w:hint="eastAsia" w:ascii="宋体" w:hAnsi="宋体" w:cs="宋体"/>
                <w:kern w:val="0"/>
                <w:szCs w:val="21"/>
              </w:rPr>
              <w:t>服务器区域</w:t>
            </w:r>
          </w:p>
        </w:tc>
      </w:tr>
      <w:tr w14:paraId="0D090F43">
        <w:tblPrEx>
          <w:tblCellMar>
            <w:top w:w="0" w:type="dxa"/>
            <w:left w:w="108" w:type="dxa"/>
            <w:bottom w:w="0" w:type="dxa"/>
            <w:right w:w="108" w:type="dxa"/>
          </w:tblCellMar>
        </w:tblPrEx>
        <w:trPr>
          <w:trHeight w:val="185"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5A111">
            <w:pPr>
              <w:widowControl/>
              <w:ind w:firstLine="0" w:firstLineChars="0"/>
              <w:jc w:val="center"/>
              <w:rPr>
                <w:rFonts w:hint="eastAsia" w:ascii="宋体" w:hAnsi="宋体" w:cs="宋体"/>
                <w:kern w:val="0"/>
                <w:szCs w:val="21"/>
              </w:rPr>
            </w:pPr>
            <w:r>
              <w:rPr>
                <w:rFonts w:hint="eastAsia" w:ascii="宋体" w:hAnsi="宋体" w:cs="宋体"/>
                <w:kern w:val="0"/>
                <w:szCs w:val="21"/>
              </w:rPr>
              <w:t>6</w:t>
            </w:r>
          </w:p>
        </w:tc>
        <w:tc>
          <w:tcPr>
            <w:tcW w:w="6109" w:type="dxa"/>
            <w:tcBorders>
              <w:top w:val="single" w:color="auto" w:sz="4" w:space="0"/>
              <w:left w:val="nil"/>
              <w:bottom w:val="single" w:color="auto" w:sz="4" w:space="0"/>
              <w:right w:val="single" w:color="auto" w:sz="4" w:space="0"/>
            </w:tcBorders>
            <w:shd w:val="clear" w:color="auto" w:fill="auto"/>
            <w:noWrap/>
            <w:vAlign w:val="center"/>
          </w:tcPr>
          <w:p w14:paraId="28B0F1ED">
            <w:pPr>
              <w:widowControl/>
              <w:ind w:firstLine="0" w:firstLineChars="0"/>
              <w:jc w:val="left"/>
              <w:rPr>
                <w:rFonts w:hint="eastAsia" w:ascii="宋体" w:hAnsi="宋体" w:cs="宋体"/>
                <w:kern w:val="0"/>
                <w:szCs w:val="21"/>
              </w:rPr>
            </w:pPr>
            <w:r>
              <w:rPr>
                <w:rFonts w:hint="eastAsia" w:ascii="宋体" w:hAnsi="宋体" w:cs="宋体"/>
                <w:kern w:val="0"/>
                <w:szCs w:val="21"/>
              </w:rPr>
              <w:t>虚拟补丁：支持通过协议分析、流量异常监视等手段判断网络入侵行为，主动发现，审计并阻断网络攻击行为；</w:t>
            </w:r>
          </w:p>
        </w:tc>
        <w:tc>
          <w:tcPr>
            <w:tcW w:w="1601" w:type="dxa"/>
            <w:tcBorders>
              <w:top w:val="single" w:color="auto" w:sz="4" w:space="0"/>
              <w:left w:val="nil"/>
              <w:bottom w:val="single" w:color="auto" w:sz="4" w:space="0"/>
              <w:right w:val="single" w:color="auto" w:sz="4" w:space="0"/>
            </w:tcBorders>
            <w:shd w:val="clear" w:color="auto" w:fill="auto"/>
            <w:noWrap/>
            <w:vAlign w:val="center"/>
          </w:tcPr>
          <w:p w14:paraId="273DE864">
            <w:pPr>
              <w:widowControl/>
              <w:ind w:firstLine="0" w:firstLineChars="0"/>
              <w:jc w:val="center"/>
              <w:rPr>
                <w:rFonts w:hint="eastAsia" w:ascii="宋体" w:hAnsi="宋体" w:cs="宋体"/>
                <w:kern w:val="0"/>
                <w:szCs w:val="21"/>
              </w:rPr>
            </w:pPr>
            <w:r>
              <w:rPr>
                <w:rFonts w:hint="eastAsia" w:ascii="宋体" w:hAnsi="宋体" w:cs="宋体"/>
                <w:kern w:val="0"/>
                <w:szCs w:val="21"/>
              </w:rPr>
              <w:t>服务器区域</w:t>
            </w:r>
          </w:p>
        </w:tc>
      </w:tr>
      <w:tr w14:paraId="7A493017">
        <w:tblPrEx>
          <w:tblCellMar>
            <w:top w:w="0" w:type="dxa"/>
            <w:left w:w="108" w:type="dxa"/>
            <w:bottom w:w="0" w:type="dxa"/>
            <w:right w:w="108" w:type="dxa"/>
          </w:tblCellMar>
        </w:tblPrEx>
        <w:trPr>
          <w:trHeight w:val="185"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10053">
            <w:pPr>
              <w:widowControl/>
              <w:ind w:firstLine="0" w:firstLineChars="0"/>
              <w:jc w:val="center"/>
              <w:rPr>
                <w:rFonts w:hint="eastAsia" w:ascii="宋体" w:hAnsi="宋体" w:cs="宋体"/>
                <w:kern w:val="0"/>
                <w:szCs w:val="21"/>
              </w:rPr>
            </w:pPr>
            <w:r>
              <w:rPr>
                <w:rFonts w:hint="eastAsia" w:ascii="宋体" w:hAnsi="宋体" w:cs="宋体"/>
                <w:kern w:val="0"/>
                <w:szCs w:val="21"/>
              </w:rPr>
              <w:t>7</w:t>
            </w:r>
          </w:p>
        </w:tc>
        <w:tc>
          <w:tcPr>
            <w:tcW w:w="6109" w:type="dxa"/>
            <w:tcBorders>
              <w:top w:val="single" w:color="auto" w:sz="4" w:space="0"/>
              <w:left w:val="nil"/>
              <w:bottom w:val="single" w:color="auto" w:sz="4" w:space="0"/>
              <w:right w:val="single" w:color="auto" w:sz="4" w:space="0"/>
            </w:tcBorders>
            <w:shd w:val="clear" w:color="auto" w:fill="auto"/>
            <w:noWrap/>
            <w:vAlign w:val="center"/>
          </w:tcPr>
          <w:p w14:paraId="2ED62055">
            <w:pPr>
              <w:widowControl/>
              <w:ind w:firstLine="0" w:firstLineChars="0"/>
              <w:jc w:val="left"/>
              <w:rPr>
                <w:rFonts w:hint="eastAsia" w:ascii="宋体" w:hAnsi="宋体" w:cs="宋体"/>
                <w:kern w:val="0"/>
                <w:szCs w:val="21"/>
              </w:rPr>
            </w:pPr>
            <w:r>
              <w:rPr>
                <w:rFonts w:hint="eastAsia" w:ascii="宋体" w:hAnsi="宋体" w:cs="宋体"/>
                <w:kern w:val="0"/>
                <w:szCs w:val="21"/>
              </w:rPr>
              <w:t>入侵检测：支持对操作系统口令暴力破解行为检测，在多次试登录失败后，有暴力破解失败安全事件上报。支持对反弹shell，黑客软件运行，敏感目录访问等入侵行为的检测和响应。</w:t>
            </w:r>
          </w:p>
        </w:tc>
        <w:tc>
          <w:tcPr>
            <w:tcW w:w="1601" w:type="dxa"/>
            <w:tcBorders>
              <w:top w:val="single" w:color="auto" w:sz="4" w:space="0"/>
              <w:left w:val="nil"/>
              <w:bottom w:val="single" w:color="auto" w:sz="4" w:space="0"/>
              <w:right w:val="single" w:color="auto" w:sz="4" w:space="0"/>
            </w:tcBorders>
            <w:shd w:val="clear" w:color="auto" w:fill="auto"/>
            <w:noWrap/>
            <w:vAlign w:val="center"/>
          </w:tcPr>
          <w:p w14:paraId="67A32ED9">
            <w:pPr>
              <w:widowControl/>
              <w:ind w:firstLine="0" w:firstLineChars="0"/>
              <w:jc w:val="center"/>
              <w:rPr>
                <w:rFonts w:hint="eastAsia" w:ascii="宋体" w:hAnsi="宋体" w:cs="宋体"/>
                <w:kern w:val="0"/>
                <w:szCs w:val="21"/>
              </w:rPr>
            </w:pPr>
            <w:r>
              <w:rPr>
                <w:rFonts w:hint="eastAsia" w:ascii="宋体" w:hAnsi="宋体" w:cs="宋体"/>
                <w:kern w:val="0"/>
                <w:szCs w:val="21"/>
              </w:rPr>
              <w:t>服务器区域</w:t>
            </w:r>
          </w:p>
        </w:tc>
      </w:tr>
    </w:tbl>
    <w:p w14:paraId="52430B62">
      <w:pPr>
        <w:ind w:firstLine="0" w:firstLineChars="0"/>
        <w:rPr>
          <w:b/>
          <w:bCs/>
        </w:rPr>
      </w:pPr>
    </w:p>
    <w:p w14:paraId="24E734CA">
      <w:pPr>
        <w:ind w:firstLine="0" w:firstLineChars="0"/>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cs="Times New Roman"/>
          <w:lang w:val="en-US" w:eastAsia="zh-CN"/>
        </w:rPr>
        <w:t>4</w:t>
      </w:r>
      <w:r>
        <w:rPr>
          <w:rFonts w:hint="eastAsia" w:ascii="Times New Roman" w:hAnsi="Times New Roman" w:eastAsia="宋体" w:cs="Times New Roman"/>
        </w:rPr>
        <w:t>、流量分析安全审计建设需求</w:t>
      </w:r>
    </w:p>
    <w:p w14:paraId="1FBE780D">
      <w:pPr>
        <w:ind w:firstLine="480" w:firstLineChars="200"/>
      </w:pPr>
      <w:r>
        <w:rPr>
          <w:rFonts w:hint="eastAsia" w:ascii="Times New Roman" w:hAnsi="Times New Roman" w:cs="Times New Roman"/>
        </w:rPr>
        <w:t>用旁路流量镜像方式获取数据中心核心交换机及边界的流量，能够实时捕获分析及回溯，当网络及应用有连续性问题时，能通过分析数据包的方式定位问题原因，当有安全事件发生时，能通过流量进行溯源分析。</w:t>
      </w:r>
    </w:p>
    <w:p w14:paraId="3C524F84">
      <w:pPr>
        <w:ind w:firstLine="0" w:firstLineChars="0"/>
        <w:rPr>
          <w:b/>
          <w:bCs/>
        </w:rPr>
      </w:pPr>
      <w:r>
        <w:rPr>
          <w:rFonts w:hint="eastAsia"/>
          <w:b/>
          <w:bCs/>
          <w:lang w:val="en-US" w:eastAsia="zh-CN"/>
        </w:rPr>
        <w:t>二、</w:t>
      </w:r>
      <w:r>
        <w:rPr>
          <w:rFonts w:hint="eastAsia"/>
          <w:b/>
          <w:bCs/>
        </w:rPr>
        <w:t>建设标准：</w:t>
      </w:r>
    </w:p>
    <w:p w14:paraId="0E76CF9B">
      <w:pPr>
        <w:ind w:firstLine="0" w:firstLineChars="0"/>
      </w:pPr>
      <w:r>
        <w:rPr>
          <w:rFonts w:hint="eastAsia"/>
          <w:lang w:eastAsia="zh-CN"/>
        </w:rPr>
        <w:t>（</w:t>
      </w:r>
      <w:r>
        <w:rPr>
          <w:rFonts w:hint="eastAsia"/>
          <w:lang w:val="en-US" w:eastAsia="zh-CN"/>
        </w:rPr>
        <w:t>1</w:t>
      </w:r>
      <w:r>
        <w:rPr>
          <w:rFonts w:hint="eastAsia"/>
          <w:lang w:eastAsia="zh-CN"/>
        </w:rPr>
        <w:t>）</w:t>
      </w:r>
      <w:r>
        <w:rPr>
          <w:rFonts w:hint="eastAsia"/>
        </w:rPr>
        <w:t>城东信息系统硬件维保建设标准：</w:t>
      </w:r>
    </w:p>
    <w:p w14:paraId="00CEAD18">
      <w:pPr>
        <w:ind w:firstLine="480" w:firstLineChars="200"/>
      </w:pPr>
      <w:r>
        <w:rPr>
          <w:rFonts w:hint="eastAsia"/>
        </w:rPr>
        <w:t>1、安全设备功能授权原厂质保及安全运维标准：</w:t>
      </w:r>
    </w:p>
    <w:tbl>
      <w:tblPr>
        <w:tblStyle w:val="62"/>
        <w:tblW w:w="8411" w:type="dxa"/>
        <w:tblInd w:w="137" w:type="dxa"/>
        <w:tblLayout w:type="fixed"/>
        <w:tblCellMar>
          <w:top w:w="0" w:type="dxa"/>
          <w:left w:w="108" w:type="dxa"/>
          <w:bottom w:w="0" w:type="dxa"/>
          <w:right w:w="108" w:type="dxa"/>
        </w:tblCellMar>
      </w:tblPr>
      <w:tblGrid>
        <w:gridCol w:w="506"/>
        <w:gridCol w:w="2409"/>
        <w:gridCol w:w="741"/>
        <w:gridCol w:w="1067"/>
        <w:gridCol w:w="1360"/>
        <w:gridCol w:w="2328"/>
      </w:tblGrid>
      <w:tr w14:paraId="7D7DEDED">
        <w:tblPrEx>
          <w:tblCellMar>
            <w:top w:w="0" w:type="dxa"/>
            <w:left w:w="108" w:type="dxa"/>
            <w:bottom w:w="0" w:type="dxa"/>
            <w:right w:w="108" w:type="dxa"/>
          </w:tblCellMar>
        </w:tblPrEx>
        <w:trPr>
          <w:trHeight w:val="90"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AE10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6F59BA31">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系统名称</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7476459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3695F50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48B5A341">
            <w:pPr>
              <w:widowControl/>
              <w:ind w:firstLine="0" w:firstLineChars="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授权使用时间</w:t>
            </w:r>
          </w:p>
        </w:tc>
        <w:tc>
          <w:tcPr>
            <w:tcW w:w="2328" w:type="dxa"/>
            <w:tcBorders>
              <w:top w:val="single" w:color="auto" w:sz="4" w:space="0"/>
              <w:left w:val="nil"/>
              <w:bottom w:val="single" w:color="auto" w:sz="4" w:space="0"/>
              <w:right w:val="single" w:color="auto" w:sz="4" w:space="0"/>
            </w:tcBorders>
            <w:shd w:val="clear" w:color="auto" w:fill="auto"/>
            <w:noWrap/>
            <w:vAlign w:val="center"/>
          </w:tcPr>
          <w:p w14:paraId="00B48884">
            <w:pPr>
              <w:widowControl/>
              <w:ind w:firstLine="0" w:firstLineChars="0"/>
              <w:jc w:val="center"/>
              <w:rPr>
                <w:rFonts w:hint="default" w:ascii="宋体" w:hAnsi="宋体" w:cs="宋体"/>
                <w:kern w:val="0"/>
                <w:szCs w:val="21"/>
                <w:lang w:val="en-US" w:eastAsia="zh-CN"/>
              </w:rPr>
            </w:pPr>
            <w:r>
              <w:rPr>
                <w:rFonts w:hint="eastAsia" w:ascii="宋体" w:hAnsi="宋体" w:cs="宋体"/>
                <w:kern w:val="0"/>
                <w:szCs w:val="21"/>
                <w:lang w:val="en-US" w:eastAsia="zh-CN"/>
              </w:rPr>
              <w:t>授权内容</w:t>
            </w:r>
          </w:p>
        </w:tc>
      </w:tr>
      <w:tr w14:paraId="39BCC13D">
        <w:tblPrEx>
          <w:tblCellMar>
            <w:top w:w="0" w:type="dxa"/>
            <w:left w:w="108" w:type="dxa"/>
            <w:bottom w:w="0" w:type="dxa"/>
            <w:right w:w="108" w:type="dxa"/>
          </w:tblCellMar>
        </w:tblPrEx>
        <w:trPr>
          <w:trHeight w:val="234" w:hRule="atLeast"/>
        </w:trPr>
        <w:tc>
          <w:tcPr>
            <w:tcW w:w="506" w:type="dxa"/>
            <w:tcBorders>
              <w:top w:val="nil"/>
              <w:left w:val="single" w:color="auto" w:sz="4" w:space="0"/>
              <w:bottom w:val="single" w:color="auto" w:sz="4" w:space="0"/>
              <w:right w:val="single" w:color="auto" w:sz="4" w:space="0"/>
            </w:tcBorders>
            <w:shd w:val="clear" w:color="auto" w:fill="auto"/>
            <w:noWrap/>
            <w:vAlign w:val="center"/>
          </w:tcPr>
          <w:p w14:paraId="58F9352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2409" w:type="dxa"/>
            <w:tcBorders>
              <w:top w:val="nil"/>
              <w:left w:val="nil"/>
              <w:bottom w:val="single" w:color="auto" w:sz="4" w:space="0"/>
              <w:right w:val="single" w:color="auto" w:sz="4" w:space="0"/>
            </w:tcBorders>
            <w:shd w:val="clear" w:color="auto" w:fill="auto"/>
            <w:noWrap/>
            <w:vAlign w:val="center"/>
          </w:tcPr>
          <w:p w14:paraId="08A5698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深信服AF-1000-B1310</w:t>
            </w:r>
          </w:p>
        </w:tc>
        <w:tc>
          <w:tcPr>
            <w:tcW w:w="741" w:type="dxa"/>
            <w:tcBorders>
              <w:top w:val="nil"/>
              <w:left w:val="nil"/>
              <w:bottom w:val="single" w:color="auto" w:sz="4" w:space="0"/>
              <w:right w:val="single" w:color="auto" w:sz="4" w:space="0"/>
            </w:tcBorders>
            <w:shd w:val="clear" w:color="auto" w:fill="auto"/>
            <w:noWrap/>
            <w:vAlign w:val="center"/>
          </w:tcPr>
          <w:p w14:paraId="5A185475">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nil"/>
              <w:left w:val="nil"/>
              <w:bottom w:val="single" w:color="auto" w:sz="4" w:space="0"/>
              <w:right w:val="single" w:color="auto" w:sz="4" w:space="0"/>
            </w:tcBorders>
            <w:shd w:val="clear" w:color="auto" w:fill="auto"/>
            <w:noWrap/>
            <w:vAlign w:val="center"/>
          </w:tcPr>
          <w:p w14:paraId="3A1E3091">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4</w:t>
            </w:r>
          </w:p>
        </w:tc>
        <w:tc>
          <w:tcPr>
            <w:tcW w:w="1360" w:type="dxa"/>
            <w:tcBorders>
              <w:top w:val="nil"/>
              <w:left w:val="nil"/>
              <w:bottom w:val="single" w:color="auto" w:sz="4" w:space="0"/>
              <w:right w:val="single" w:color="auto" w:sz="4" w:space="0"/>
            </w:tcBorders>
            <w:shd w:val="clear" w:color="auto" w:fill="auto"/>
            <w:noWrap/>
            <w:vAlign w:val="center"/>
          </w:tcPr>
          <w:p w14:paraId="75DB1BB7">
            <w:pPr>
              <w:widowControl/>
              <w:ind w:firstLine="0" w:firstLineChars="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2年</w:t>
            </w:r>
          </w:p>
        </w:tc>
        <w:tc>
          <w:tcPr>
            <w:tcW w:w="2328" w:type="dxa"/>
            <w:vMerge w:val="restart"/>
            <w:tcBorders>
              <w:top w:val="nil"/>
              <w:left w:val="nil"/>
              <w:right w:val="single" w:color="auto" w:sz="4" w:space="0"/>
            </w:tcBorders>
            <w:shd w:val="clear" w:color="auto" w:fill="auto"/>
            <w:noWrap/>
            <w:vAlign w:val="center"/>
          </w:tcPr>
          <w:p w14:paraId="5859201B">
            <w:pPr>
              <w:widowControl/>
              <w:ind w:firstLine="0" w:firstLineChars="0"/>
              <w:jc w:val="center"/>
              <w:rPr>
                <w:rFonts w:hint="eastAsia" w:ascii="宋体" w:hAnsi="宋体" w:cs="宋体"/>
                <w:kern w:val="0"/>
                <w:szCs w:val="21"/>
                <w:lang w:val="en-US" w:eastAsia="zh-CN"/>
              </w:rPr>
            </w:pPr>
            <w:r>
              <w:rPr>
                <w:rFonts w:hint="eastAsia" w:ascii="宋体" w:hAnsi="宋体" w:eastAsia="宋体" w:cs="宋体"/>
                <w:bCs/>
                <w:color w:val="000000" w:themeColor="text1"/>
                <w:szCs w:val="24"/>
                <w14:textFill>
                  <w14:solidFill>
                    <w14:schemeClr w14:val="tx1"/>
                  </w14:solidFill>
                </w14:textFill>
              </w:rPr>
              <w:t>★</w:t>
            </w:r>
            <w:r>
              <w:rPr>
                <w:rFonts w:hint="eastAsia"/>
              </w:rPr>
              <w:t>安全规则库和URL库升级，软件升级，400技术支持服务。</w:t>
            </w:r>
          </w:p>
        </w:tc>
      </w:tr>
      <w:tr w14:paraId="659D318B">
        <w:tblPrEx>
          <w:tblCellMar>
            <w:top w:w="0" w:type="dxa"/>
            <w:left w:w="108" w:type="dxa"/>
            <w:bottom w:w="0" w:type="dxa"/>
            <w:right w:w="108" w:type="dxa"/>
          </w:tblCellMar>
        </w:tblPrEx>
        <w:trPr>
          <w:trHeight w:val="256"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8F64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58D23FF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 xml:space="preserve">深信服AF-1000-B1810 </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495576E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1C8AA5D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2</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00A6B855">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vMerge w:val="continue"/>
            <w:tcBorders>
              <w:left w:val="nil"/>
              <w:right w:val="single" w:color="auto" w:sz="4" w:space="0"/>
            </w:tcBorders>
            <w:shd w:val="clear" w:color="auto" w:fill="auto"/>
            <w:noWrap/>
            <w:vAlign w:val="center"/>
          </w:tcPr>
          <w:p w14:paraId="023DBDF1">
            <w:pPr>
              <w:widowControl/>
              <w:ind w:firstLine="0" w:firstLineChars="0"/>
              <w:jc w:val="center"/>
              <w:rPr>
                <w:rFonts w:hint="eastAsia" w:ascii="宋体" w:hAnsi="宋体" w:cs="宋体"/>
                <w:kern w:val="0"/>
                <w:szCs w:val="21"/>
                <w:lang w:val="en-US" w:eastAsia="zh-CN"/>
              </w:rPr>
            </w:pPr>
          </w:p>
        </w:tc>
      </w:tr>
      <w:tr w14:paraId="4F015F27">
        <w:tblPrEx>
          <w:tblCellMar>
            <w:top w:w="0" w:type="dxa"/>
            <w:left w:w="108" w:type="dxa"/>
            <w:bottom w:w="0" w:type="dxa"/>
            <w:right w:w="108" w:type="dxa"/>
          </w:tblCellMar>
        </w:tblPrEx>
        <w:trPr>
          <w:trHeight w:val="305"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AAA10">
            <w:pPr>
              <w:widowControl/>
              <w:ind w:firstLine="0" w:firstLineChars="0"/>
              <w:rPr>
                <w:rFonts w:hint="eastAsia" w:ascii="宋体" w:hAnsi="宋体" w:eastAsia="宋体" w:cs="宋体"/>
                <w:kern w:val="0"/>
                <w:szCs w:val="21"/>
              </w:rPr>
            </w:pPr>
            <w:r>
              <w:rPr>
                <w:rFonts w:hint="eastAsia" w:ascii="宋体" w:hAnsi="宋体" w:eastAsia="宋体" w:cs="宋体"/>
                <w:kern w:val="0"/>
                <w:szCs w:val="21"/>
              </w:rPr>
              <w:t xml:space="preserve">  3</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5C398F6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深信服AC-1000-B1060</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6428B16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76E5BF5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1D80DF71">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vMerge w:val="continue"/>
            <w:tcBorders>
              <w:left w:val="nil"/>
              <w:right w:val="single" w:color="auto" w:sz="4" w:space="0"/>
            </w:tcBorders>
            <w:shd w:val="clear" w:color="auto" w:fill="auto"/>
            <w:noWrap/>
            <w:vAlign w:val="center"/>
          </w:tcPr>
          <w:p w14:paraId="61E1A339">
            <w:pPr>
              <w:widowControl/>
              <w:ind w:firstLine="0" w:firstLineChars="0"/>
              <w:jc w:val="center"/>
              <w:rPr>
                <w:rFonts w:hint="eastAsia" w:ascii="宋体" w:hAnsi="宋体" w:cs="宋体"/>
                <w:kern w:val="0"/>
                <w:szCs w:val="21"/>
                <w:lang w:val="en-US" w:eastAsia="zh-CN"/>
              </w:rPr>
            </w:pPr>
          </w:p>
        </w:tc>
      </w:tr>
      <w:tr w14:paraId="0C4E5370">
        <w:tblPrEx>
          <w:tblCellMar>
            <w:top w:w="0" w:type="dxa"/>
            <w:left w:w="108" w:type="dxa"/>
            <w:bottom w:w="0" w:type="dxa"/>
            <w:right w:w="108" w:type="dxa"/>
          </w:tblCellMar>
        </w:tblPrEx>
        <w:trPr>
          <w:trHeight w:val="256" w:hRule="atLeast"/>
        </w:trPr>
        <w:tc>
          <w:tcPr>
            <w:tcW w:w="506" w:type="dxa"/>
            <w:tcBorders>
              <w:top w:val="nil"/>
              <w:left w:val="single" w:color="auto" w:sz="4" w:space="0"/>
              <w:bottom w:val="single" w:color="auto" w:sz="4" w:space="0"/>
              <w:right w:val="single" w:color="auto" w:sz="4" w:space="0"/>
            </w:tcBorders>
            <w:shd w:val="clear" w:color="auto" w:fill="auto"/>
            <w:noWrap/>
            <w:vAlign w:val="center"/>
          </w:tcPr>
          <w:p w14:paraId="4F8B010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4</w:t>
            </w:r>
          </w:p>
        </w:tc>
        <w:tc>
          <w:tcPr>
            <w:tcW w:w="2409" w:type="dxa"/>
            <w:tcBorders>
              <w:top w:val="nil"/>
              <w:left w:val="nil"/>
              <w:bottom w:val="single" w:color="auto" w:sz="4" w:space="0"/>
              <w:right w:val="single" w:color="auto" w:sz="4" w:space="0"/>
            </w:tcBorders>
            <w:shd w:val="clear" w:color="auto" w:fill="auto"/>
            <w:noWrap/>
            <w:vAlign w:val="center"/>
          </w:tcPr>
          <w:p w14:paraId="6F1BAF6E">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深信服GAP-1000-A600</w:t>
            </w:r>
          </w:p>
        </w:tc>
        <w:tc>
          <w:tcPr>
            <w:tcW w:w="741" w:type="dxa"/>
            <w:tcBorders>
              <w:top w:val="nil"/>
              <w:left w:val="nil"/>
              <w:bottom w:val="single" w:color="auto" w:sz="4" w:space="0"/>
              <w:right w:val="single" w:color="auto" w:sz="4" w:space="0"/>
            </w:tcBorders>
            <w:shd w:val="clear" w:color="auto" w:fill="auto"/>
            <w:noWrap/>
            <w:vAlign w:val="center"/>
          </w:tcPr>
          <w:p w14:paraId="2001F44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nil"/>
              <w:left w:val="nil"/>
              <w:bottom w:val="single" w:color="auto" w:sz="4" w:space="0"/>
              <w:right w:val="single" w:color="auto" w:sz="4" w:space="0"/>
            </w:tcBorders>
            <w:shd w:val="clear" w:color="auto" w:fill="auto"/>
            <w:noWrap/>
            <w:vAlign w:val="center"/>
          </w:tcPr>
          <w:p w14:paraId="48024E50">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1360" w:type="dxa"/>
            <w:tcBorders>
              <w:top w:val="nil"/>
              <w:left w:val="nil"/>
              <w:bottom w:val="single" w:color="auto" w:sz="4" w:space="0"/>
              <w:right w:val="single" w:color="auto" w:sz="4" w:space="0"/>
            </w:tcBorders>
            <w:shd w:val="clear" w:color="auto" w:fill="auto"/>
            <w:noWrap/>
            <w:vAlign w:val="center"/>
          </w:tcPr>
          <w:p w14:paraId="33AF9E71">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vMerge w:val="continue"/>
            <w:tcBorders>
              <w:left w:val="nil"/>
              <w:right w:val="single" w:color="auto" w:sz="4" w:space="0"/>
            </w:tcBorders>
            <w:shd w:val="clear" w:color="auto" w:fill="auto"/>
            <w:noWrap/>
            <w:vAlign w:val="center"/>
          </w:tcPr>
          <w:p w14:paraId="239E0B6B">
            <w:pPr>
              <w:widowControl/>
              <w:ind w:firstLine="0" w:firstLineChars="0"/>
              <w:jc w:val="center"/>
              <w:rPr>
                <w:rFonts w:hint="eastAsia" w:ascii="宋体" w:hAnsi="宋体" w:cs="宋体"/>
                <w:kern w:val="0"/>
                <w:szCs w:val="21"/>
                <w:lang w:val="en-US" w:eastAsia="zh-CN"/>
              </w:rPr>
            </w:pPr>
          </w:p>
        </w:tc>
      </w:tr>
      <w:tr w14:paraId="26C9DD1C">
        <w:tblPrEx>
          <w:tblCellMar>
            <w:top w:w="0" w:type="dxa"/>
            <w:left w:w="108" w:type="dxa"/>
            <w:bottom w:w="0" w:type="dxa"/>
            <w:right w:w="108" w:type="dxa"/>
          </w:tblCellMar>
        </w:tblPrEx>
        <w:trPr>
          <w:trHeight w:val="256" w:hRule="atLeast"/>
        </w:trPr>
        <w:tc>
          <w:tcPr>
            <w:tcW w:w="506" w:type="dxa"/>
            <w:tcBorders>
              <w:top w:val="nil"/>
              <w:left w:val="single" w:color="auto" w:sz="4" w:space="0"/>
              <w:bottom w:val="single" w:color="auto" w:sz="4" w:space="0"/>
              <w:right w:val="single" w:color="auto" w:sz="4" w:space="0"/>
            </w:tcBorders>
            <w:shd w:val="clear" w:color="auto" w:fill="auto"/>
            <w:noWrap/>
            <w:vAlign w:val="center"/>
          </w:tcPr>
          <w:p w14:paraId="2FDC81E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5</w:t>
            </w:r>
          </w:p>
        </w:tc>
        <w:tc>
          <w:tcPr>
            <w:tcW w:w="2409" w:type="dxa"/>
            <w:tcBorders>
              <w:top w:val="nil"/>
              <w:left w:val="nil"/>
              <w:bottom w:val="single" w:color="auto" w:sz="4" w:space="0"/>
              <w:right w:val="single" w:color="auto" w:sz="4" w:space="0"/>
            </w:tcBorders>
            <w:shd w:val="clear" w:color="auto" w:fill="auto"/>
            <w:noWrap/>
            <w:vAlign w:val="center"/>
          </w:tcPr>
          <w:p w14:paraId="3FB2F28F">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深信服OSM-1000-B1150</w:t>
            </w:r>
          </w:p>
        </w:tc>
        <w:tc>
          <w:tcPr>
            <w:tcW w:w="741" w:type="dxa"/>
            <w:tcBorders>
              <w:top w:val="nil"/>
              <w:left w:val="nil"/>
              <w:bottom w:val="single" w:color="auto" w:sz="4" w:space="0"/>
              <w:right w:val="single" w:color="auto" w:sz="4" w:space="0"/>
            </w:tcBorders>
            <w:shd w:val="clear" w:color="auto" w:fill="auto"/>
            <w:noWrap/>
            <w:vAlign w:val="center"/>
          </w:tcPr>
          <w:p w14:paraId="410A6CC1">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nil"/>
              <w:left w:val="nil"/>
              <w:bottom w:val="single" w:color="auto" w:sz="4" w:space="0"/>
              <w:right w:val="single" w:color="auto" w:sz="4" w:space="0"/>
            </w:tcBorders>
            <w:shd w:val="clear" w:color="auto" w:fill="auto"/>
            <w:noWrap/>
            <w:vAlign w:val="center"/>
          </w:tcPr>
          <w:p w14:paraId="4F591C8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1360" w:type="dxa"/>
            <w:tcBorders>
              <w:top w:val="nil"/>
              <w:left w:val="nil"/>
              <w:bottom w:val="single" w:color="auto" w:sz="4" w:space="0"/>
              <w:right w:val="single" w:color="auto" w:sz="4" w:space="0"/>
            </w:tcBorders>
            <w:shd w:val="clear" w:color="auto" w:fill="auto"/>
            <w:noWrap/>
            <w:vAlign w:val="center"/>
          </w:tcPr>
          <w:p w14:paraId="01EE3F59">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vMerge w:val="continue"/>
            <w:tcBorders>
              <w:left w:val="nil"/>
              <w:right w:val="single" w:color="auto" w:sz="4" w:space="0"/>
            </w:tcBorders>
            <w:shd w:val="clear" w:color="auto" w:fill="auto"/>
            <w:noWrap/>
            <w:vAlign w:val="center"/>
          </w:tcPr>
          <w:p w14:paraId="4488331B">
            <w:pPr>
              <w:widowControl/>
              <w:ind w:firstLine="0" w:firstLineChars="0"/>
              <w:jc w:val="center"/>
              <w:rPr>
                <w:rFonts w:hint="eastAsia" w:ascii="宋体" w:hAnsi="宋体" w:cs="宋体"/>
                <w:kern w:val="0"/>
                <w:szCs w:val="21"/>
                <w:lang w:val="en-US" w:eastAsia="zh-CN"/>
              </w:rPr>
            </w:pPr>
          </w:p>
        </w:tc>
      </w:tr>
      <w:tr w14:paraId="7C16F1A2">
        <w:tblPrEx>
          <w:tblCellMar>
            <w:top w:w="0" w:type="dxa"/>
            <w:left w:w="108" w:type="dxa"/>
            <w:bottom w:w="0" w:type="dxa"/>
            <w:right w:w="108" w:type="dxa"/>
          </w:tblCellMar>
        </w:tblPrEx>
        <w:trPr>
          <w:trHeight w:val="256"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582CA">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6</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6E6E4D5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深信服aTrust-1000-B1030M</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78040DB7">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1105BAA8">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37C13BB0">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vMerge w:val="continue"/>
            <w:tcBorders>
              <w:left w:val="nil"/>
              <w:right w:val="single" w:color="auto" w:sz="4" w:space="0"/>
            </w:tcBorders>
            <w:shd w:val="clear" w:color="auto" w:fill="auto"/>
            <w:noWrap/>
            <w:vAlign w:val="center"/>
          </w:tcPr>
          <w:p w14:paraId="277BD94C">
            <w:pPr>
              <w:widowControl/>
              <w:ind w:firstLine="0" w:firstLineChars="0"/>
              <w:jc w:val="center"/>
              <w:rPr>
                <w:rFonts w:hint="eastAsia" w:ascii="宋体" w:hAnsi="宋体" w:cs="宋体"/>
                <w:kern w:val="0"/>
                <w:szCs w:val="21"/>
                <w:lang w:val="en-US" w:eastAsia="zh-CN"/>
              </w:rPr>
            </w:pPr>
          </w:p>
        </w:tc>
      </w:tr>
      <w:tr w14:paraId="5BEE6BBD">
        <w:tblPrEx>
          <w:tblCellMar>
            <w:top w:w="0" w:type="dxa"/>
            <w:left w:w="108" w:type="dxa"/>
            <w:bottom w:w="0" w:type="dxa"/>
            <w:right w:w="108" w:type="dxa"/>
          </w:tblCellMar>
        </w:tblPrEx>
        <w:trPr>
          <w:trHeight w:val="256"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A609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7</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761C750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深信服SIP-Logger-A600</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71E2749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2C839779">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743A4B72">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vMerge w:val="continue"/>
            <w:tcBorders>
              <w:left w:val="nil"/>
              <w:bottom w:val="single" w:color="auto" w:sz="4" w:space="0"/>
              <w:right w:val="single" w:color="auto" w:sz="4" w:space="0"/>
            </w:tcBorders>
            <w:shd w:val="clear" w:color="auto" w:fill="auto"/>
            <w:noWrap/>
            <w:vAlign w:val="center"/>
          </w:tcPr>
          <w:p w14:paraId="70525C69">
            <w:pPr>
              <w:widowControl/>
              <w:ind w:firstLine="0" w:firstLineChars="0"/>
              <w:jc w:val="center"/>
              <w:rPr>
                <w:rFonts w:hint="eastAsia" w:ascii="宋体" w:hAnsi="宋体" w:cs="宋体"/>
                <w:kern w:val="0"/>
                <w:szCs w:val="21"/>
                <w:lang w:val="en-US" w:eastAsia="zh-CN"/>
              </w:rPr>
            </w:pPr>
          </w:p>
        </w:tc>
      </w:tr>
      <w:tr w14:paraId="6F899470">
        <w:tblPrEx>
          <w:tblCellMar>
            <w:top w:w="0" w:type="dxa"/>
            <w:left w:w="108" w:type="dxa"/>
            <w:bottom w:w="0" w:type="dxa"/>
            <w:right w:w="108" w:type="dxa"/>
          </w:tblCellMar>
        </w:tblPrEx>
        <w:trPr>
          <w:trHeight w:val="256"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F2A04">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8</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7BCABE58">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火绒终端安全管理系统V2.0</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03B02543">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套</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79F2AE8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66C7011A">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tcBorders>
              <w:top w:val="single" w:color="auto" w:sz="4" w:space="0"/>
              <w:left w:val="nil"/>
              <w:bottom w:val="single" w:color="auto" w:sz="4" w:space="0"/>
              <w:right w:val="single" w:color="auto" w:sz="4" w:space="0"/>
            </w:tcBorders>
            <w:shd w:val="clear" w:color="auto" w:fill="auto"/>
            <w:noWrap/>
            <w:vAlign w:val="center"/>
          </w:tcPr>
          <w:p w14:paraId="5CEF9225">
            <w:pPr>
              <w:widowControl/>
              <w:ind w:firstLine="0" w:firstLineChars="0"/>
              <w:jc w:val="center"/>
              <w:rPr>
                <w:rFonts w:hint="eastAsia" w:ascii="宋体" w:hAnsi="宋体" w:cs="宋体"/>
                <w:kern w:val="0"/>
                <w:szCs w:val="21"/>
                <w:lang w:val="en-US" w:eastAsia="zh-CN"/>
              </w:rPr>
            </w:pPr>
            <w:r>
              <w:rPr>
                <w:rFonts w:hint="eastAsia" w:ascii="宋体" w:hAnsi="宋体" w:eastAsia="宋体" w:cs="宋体"/>
                <w:bCs/>
                <w:color w:val="000000" w:themeColor="text1"/>
                <w:szCs w:val="24"/>
                <w14:textFill>
                  <w14:solidFill>
                    <w14:schemeClr w14:val="tx1"/>
                  </w14:solidFill>
                </w14:textFill>
              </w:rPr>
              <w:t>★</w:t>
            </w:r>
            <w:r>
              <w:rPr>
                <w:rFonts w:hint="eastAsia"/>
              </w:rPr>
              <w:t>火绒杀毒软件扩容100节点终端授权</w:t>
            </w:r>
          </w:p>
        </w:tc>
      </w:tr>
      <w:tr w14:paraId="55E0706A">
        <w:tblPrEx>
          <w:tblCellMar>
            <w:top w:w="0" w:type="dxa"/>
            <w:left w:w="108" w:type="dxa"/>
            <w:bottom w:w="0" w:type="dxa"/>
            <w:right w:w="108" w:type="dxa"/>
          </w:tblCellMar>
        </w:tblPrEx>
        <w:trPr>
          <w:trHeight w:val="256"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CEF46">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9</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17D4CB12">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美创防统方系统DRX-ZJZC200</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60AE5D34">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7B5504C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0173B51B">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vMerge w:val="restart"/>
            <w:tcBorders>
              <w:top w:val="single" w:color="auto" w:sz="4" w:space="0"/>
              <w:left w:val="nil"/>
              <w:right w:val="single" w:color="auto" w:sz="4" w:space="0"/>
            </w:tcBorders>
            <w:shd w:val="clear" w:color="auto" w:fill="auto"/>
            <w:noWrap/>
            <w:vAlign w:val="center"/>
          </w:tcPr>
          <w:p w14:paraId="38444A67">
            <w:pPr>
              <w:widowControl/>
              <w:ind w:firstLine="0" w:firstLineChars="0"/>
              <w:jc w:val="center"/>
              <w:rPr>
                <w:rFonts w:hint="eastAsia" w:ascii="宋体" w:hAnsi="宋体" w:cs="宋体"/>
                <w:kern w:val="0"/>
                <w:szCs w:val="21"/>
                <w:lang w:val="en-US" w:eastAsia="zh-CN"/>
              </w:rPr>
            </w:pPr>
            <w:r>
              <w:rPr>
                <w:rFonts w:hint="eastAsia" w:ascii="宋体" w:hAnsi="宋体" w:eastAsia="宋体" w:cs="宋体"/>
                <w:bCs/>
                <w:color w:val="000000" w:themeColor="text1"/>
                <w:szCs w:val="24"/>
                <w14:textFill>
                  <w14:solidFill>
                    <w14:schemeClr w14:val="tx1"/>
                  </w14:solidFill>
                </w14:textFill>
              </w:rPr>
              <w:t>★</w:t>
            </w:r>
            <w:r>
              <w:rPr>
                <w:rFonts w:hint="eastAsia"/>
              </w:rPr>
              <w:t>美创数据库审计扩容100M流量授权，美创防统方扩容1个数据库授权</w:t>
            </w:r>
          </w:p>
        </w:tc>
      </w:tr>
      <w:tr w14:paraId="5B4984F4">
        <w:tblPrEx>
          <w:tblCellMar>
            <w:top w:w="0" w:type="dxa"/>
            <w:left w:w="108" w:type="dxa"/>
            <w:bottom w:w="0" w:type="dxa"/>
            <w:right w:w="108" w:type="dxa"/>
          </w:tblCellMar>
        </w:tblPrEx>
        <w:trPr>
          <w:trHeight w:val="256"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2DB4D">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10</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6F53032F">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美创数据库审计设备DAS-ZJZC200</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34A7DC77">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5726D92B">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130164E3">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vMerge w:val="continue"/>
            <w:tcBorders>
              <w:left w:val="nil"/>
              <w:bottom w:val="single" w:color="auto" w:sz="4" w:space="0"/>
              <w:right w:val="single" w:color="auto" w:sz="4" w:space="0"/>
            </w:tcBorders>
            <w:shd w:val="clear" w:color="auto" w:fill="auto"/>
            <w:noWrap/>
            <w:vAlign w:val="center"/>
          </w:tcPr>
          <w:p w14:paraId="02AB2BD1">
            <w:pPr>
              <w:widowControl/>
              <w:ind w:firstLine="0" w:firstLineChars="0"/>
              <w:jc w:val="center"/>
              <w:rPr>
                <w:rFonts w:hint="eastAsia" w:ascii="宋体" w:hAnsi="宋体" w:cs="宋体"/>
                <w:kern w:val="0"/>
                <w:szCs w:val="21"/>
                <w:lang w:val="en-US" w:eastAsia="zh-CN"/>
              </w:rPr>
            </w:pPr>
          </w:p>
        </w:tc>
      </w:tr>
      <w:tr w14:paraId="52D25413">
        <w:tblPrEx>
          <w:tblCellMar>
            <w:top w:w="0" w:type="dxa"/>
            <w:left w:w="108" w:type="dxa"/>
            <w:bottom w:w="0" w:type="dxa"/>
            <w:right w:w="108" w:type="dxa"/>
          </w:tblCellMar>
        </w:tblPrEx>
        <w:trPr>
          <w:trHeight w:val="256"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55938">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11</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131E33C8">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奇安信医保防火墙 NSG2000-TE40M</w:t>
            </w:r>
          </w:p>
        </w:tc>
        <w:tc>
          <w:tcPr>
            <w:tcW w:w="741" w:type="dxa"/>
            <w:tcBorders>
              <w:top w:val="single" w:color="auto" w:sz="4" w:space="0"/>
              <w:left w:val="nil"/>
              <w:bottom w:val="single" w:color="auto" w:sz="4" w:space="0"/>
              <w:right w:val="single" w:color="auto" w:sz="4" w:space="0"/>
            </w:tcBorders>
            <w:shd w:val="clear" w:color="auto" w:fill="auto"/>
            <w:noWrap/>
            <w:vAlign w:val="center"/>
          </w:tcPr>
          <w:p w14:paraId="02433DA7">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台</w:t>
            </w:r>
          </w:p>
        </w:tc>
        <w:tc>
          <w:tcPr>
            <w:tcW w:w="1067" w:type="dxa"/>
            <w:tcBorders>
              <w:top w:val="single" w:color="auto" w:sz="4" w:space="0"/>
              <w:left w:val="nil"/>
              <w:bottom w:val="single" w:color="auto" w:sz="4" w:space="0"/>
              <w:right w:val="single" w:color="auto" w:sz="4" w:space="0"/>
            </w:tcBorders>
            <w:shd w:val="clear" w:color="auto" w:fill="auto"/>
            <w:noWrap/>
            <w:vAlign w:val="center"/>
          </w:tcPr>
          <w:p w14:paraId="20EA877C">
            <w:pPr>
              <w:widowControl/>
              <w:ind w:firstLine="0" w:firstLineChars="0"/>
              <w:jc w:val="center"/>
              <w:rPr>
                <w:rFonts w:hint="eastAsia" w:ascii="宋体" w:hAnsi="宋体" w:eastAsia="宋体" w:cs="宋体"/>
                <w:kern w:val="0"/>
                <w:szCs w:val="21"/>
              </w:rPr>
            </w:pPr>
            <w:r>
              <w:rPr>
                <w:rFonts w:hint="eastAsia" w:ascii="宋体" w:hAnsi="宋体" w:eastAsia="宋体" w:cs="宋体"/>
                <w:kern w:val="0"/>
                <w:szCs w:val="21"/>
              </w:rPr>
              <w:t>1</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7EB985C5">
            <w:pPr>
              <w:widowControl/>
              <w:ind w:firstLine="0" w:firstLineChars="0"/>
              <w:jc w:val="center"/>
              <w:rPr>
                <w:rFonts w:hint="eastAsia" w:ascii="宋体" w:hAnsi="宋体" w:eastAsia="宋体" w:cs="宋体"/>
                <w:kern w:val="0"/>
                <w:szCs w:val="21"/>
              </w:rPr>
            </w:pPr>
            <w:r>
              <w:rPr>
                <w:rFonts w:hint="eastAsia" w:ascii="宋体" w:hAnsi="宋体" w:cs="宋体"/>
                <w:kern w:val="0"/>
                <w:szCs w:val="21"/>
                <w:lang w:val="en-US" w:eastAsia="zh-CN"/>
              </w:rPr>
              <w:t>2年</w:t>
            </w:r>
          </w:p>
        </w:tc>
        <w:tc>
          <w:tcPr>
            <w:tcW w:w="2328" w:type="dxa"/>
            <w:tcBorders>
              <w:top w:val="single" w:color="auto" w:sz="4" w:space="0"/>
              <w:left w:val="nil"/>
              <w:bottom w:val="single" w:color="auto" w:sz="4" w:space="0"/>
              <w:right w:val="single" w:color="auto" w:sz="4" w:space="0"/>
            </w:tcBorders>
            <w:shd w:val="clear" w:color="auto" w:fill="auto"/>
            <w:noWrap/>
            <w:vAlign w:val="center"/>
          </w:tcPr>
          <w:p w14:paraId="537DCDDF">
            <w:pPr>
              <w:widowControl/>
              <w:ind w:firstLine="0" w:firstLineChars="0"/>
              <w:jc w:val="center"/>
              <w:rPr>
                <w:rFonts w:hint="eastAsia" w:ascii="宋体" w:hAnsi="宋体" w:cs="宋体"/>
                <w:kern w:val="0"/>
                <w:szCs w:val="21"/>
                <w:lang w:val="en-US" w:eastAsia="zh-CN"/>
              </w:rPr>
            </w:pPr>
            <w:r>
              <w:rPr>
                <w:rFonts w:hint="eastAsia" w:ascii="宋体" w:hAnsi="宋体" w:eastAsia="宋体" w:cs="宋体"/>
                <w:bCs/>
                <w:color w:val="000000" w:themeColor="text1"/>
                <w:szCs w:val="24"/>
                <w14:textFill>
                  <w14:solidFill>
                    <w14:schemeClr w14:val="tx1"/>
                  </w14:solidFill>
                </w14:textFill>
              </w:rPr>
              <w:t>★</w:t>
            </w:r>
            <w:r>
              <w:rPr>
                <w:rFonts w:hint="eastAsia"/>
              </w:rPr>
              <w:t>完整安全功能规则库和软件升级</w:t>
            </w:r>
          </w:p>
        </w:tc>
      </w:tr>
    </w:tbl>
    <w:p w14:paraId="6E78EEDC">
      <w:pPr>
        <w:ind w:firstLine="0" w:firstLineChars="0"/>
        <w:rPr>
          <w:rFonts w:hint="eastAsia"/>
        </w:rPr>
      </w:pPr>
    </w:p>
    <w:p w14:paraId="6A43F454">
      <w:pPr>
        <w:ind w:firstLine="0" w:firstLineChars="0"/>
        <w:rPr>
          <w:rFonts w:eastAsia="宋体"/>
        </w:rPr>
      </w:pPr>
      <w:r>
        <w:rPr>
          <w:rFonts w:hint="eastAsia"/>
        </w:rPr>
        <w:t>2、机房内设备硬件原厂</w:t>
      </w:r>
      <w:r>
        <w:rPr>
          <w:rFonts w:hint="eastAsia"/>
          <w:highlight w:val="none"/>
        </w:rPr>
        <w:t>质保两年，清单见信息设备需求清单。</w:t>
      </w:r>
    </w:p>
    <w:p w14:paraId="269C3CD7">
      <w:pPr>
        <w:ind w:left="0" w:firstLine="0" w:firstLineChars="0"/>
        <w:rPr>
          <w:rFonts w:eastAsia="宋体"/>
        </w:rPr>
      </w:pPr>
      <w:r>
        <w:rPr>
          <w:rFonts w:hint="eastAsia"/>
        </w:rPr>
        <w:t>3、</w:t>
      </w:r>
      <w:r>
        <w:rPr>
          <w:rFonts w:hint="eastAsia" w:eastAsia="宋体"/>
        </w:rPr>
        <w:t>信息设备运维</w:t>
      </w:r>
      <w:r>
        <w:rPr>
          <w:rFonts w:hint="eastAsia"/>
        </w:rPr>
        <w:t>标准</w:t>
      </w:r>
      <w:r>
        <w:rPr>
          <w:rFonts w:hint="eastAsia" w:eastAsia="宋体"/>
        </w:rPr>
        <w:t>：</w:t>
      </w:r>
    </w:p>
    <w:p w14:paraId="2AB6D44B">
      <w:pPr>
        <w:adjustRightInd w:val="0"/>
        <w:ind w:firstLine="0" w:firstLineChars="0"/>
        <w:rPr>
          <w:rFonts w:eastAsia="宋体"/>
          <w:b/>
          <w:bCs/>
          <w:szCs w:val="21"/>
        </w:rPr>
      </w:pPr>
      <w:r>
        <w:rPr>
          <w:rFonts w:hint="eastAsia"/>
          <w:b/>
          <w:bCs/>
          <w:szCs w:val="21"/>
          <w:lang w:val="en-US" w:eastAsia="zh-CN"/>
        </w:rPr>
        <w:t>3.1</w:t>
      </w:r>
      <w:r>
        <w:rPr>
          <w:rFonts w:hint="eastAsia"/>
          <w:b/>
          <w:bCs/>
          <w:szCs w:val="21"/>
        </w:rPr>
        <w:t>服务响应要求:</w:t>
      </w:r>
    </w:p>
    <w:p w14:paraId="1DF2CAED">
      <w:pPr>
        <w:adjustRightInd w:val="0"/>
        <w:ind w:firstLine="480" w:firstLineChars="200"/>
        <w:rPr>
          <w:szCs w:val="21"/>
        </w:rPr>
      </w:pPr>
      <w:r>
        <w:rPr>
          <w:rFonts w:hint="eastAsia"/>
          <w:szCs w:val="21"/>
        </w:rPr>
        <w:t>包括电话和远程技术支持服务、现场技术支持服务两种。</w:t>
      </w:r>
    </w:p>
    <w:p w14:paraId="504FFA2D">
      <w:pPr>
        <w:adjustRightInd w:val="0"/>
        <w:ind w:firstLine="0" w:firstLineChars="0"/>
        <w:rPr>
          <w:b/>
          <w:bCs/>
          <w:szCs w:val="21"/>
        </w:rPr>
      </w:pPr>
      <w:r>
        <w:rPr>
          <w:rFonts w:hint="eastAsia"/>
          <w:b/>
          <w:bCs/>
          <w:szCs w:val="21"/>
          <w:lang w:val="en-US" w:eastAsia="zh-CN"/>
        </w:rPr>
        <w:t>3.1.1</w:t>
      </w:r>
      <w:r>
        <w:rPr>
          <w:rFonts w:hint="eastAsia"/>
          <w:b/>
          <w:bCs/>
          <w:szCs w:val="21"/>
        </w:rPr>
        <w:t>电话和远程技术支持响应</w:t>
      </w:r>
    </w:p>
    <w:p w14:paraId="0A62B036">
      <w:pPr>
        <w:adjustRightInd w:val="0"/>
        <w:ind w:firstLine="480" w:firstLineChars="200"/>
        <w:rPr>
          <w:szCs w:val="21"/>
        </w:rPr>
      </w:pPr>
      <w:r>
        <w:rPr>
          <w:rFonts w:hint="eastAsia"/>
          <w:szCs w:val="21"/>
        </w:rPr>
        <w:t>要求提供 7X24 不间断的电话服务支持，不限次。用户方工作人员在使用维保范围内的软硬件设备如遇到问题,无论是软件或硬件,都随时可以从投标方得到电话支持与帮助。投标方需指定一名主要联系人及两名替补联系人与用户方联系。一旦接到用户方请求电话,投标方的技术人员将在规定时间内通过电话解决 或回答用户所提出的问题。若投标方指定工程师如果因特殊原因离职或更换电话，及时通知用户方，并指定合格的接替人员。</w:t>
      </w:r>
    </w:p>
    <w:p w14:paraId="2EB68B5E">
      <w:pPr>
        <w:adjustRightInd w:val="0"/>
        <w:ind w:firstLine="0" w:firstLineChars="0"/>
        <w:rPr>
          <w:b/>
          <w:bCs/>
          <w:szCs w:val="21"/>
        </w:rPr>
      </w:pPr>
      <w:r>
        <w:rPr>
          <w:rFonts w:hint="eastAsia"/>
          <w:b/>
          <w:bCs/>
          <w:szCs w:val="21"/>
          <w:lang w:val="en-US" w:eastAsia="zh-CN"/>
        </w:rPr>
        <w:t>3.1.2</w:t>
      </w:r>
      <w:r>
        <w:rPr>
          <w:rFonts w:hint="eastAsia"/>
          <w:b/>
          <w:bCs/>
          <w:szCs w:val="21"/>
        </w:rPr>
        <w:t>现场技术支持响应</w:t>
      </w:r>
    </w:p>
    <w:p w14:paraId="411406E9">
      <w:pPr>
        <w:adjustRightInd w:val="0"/>
        <w:ind w:firstLine="480" w:firstLineChars="200"/>
        <w:rPr>
          <w:szCs w:val="21"/>
        </w:rPr>
      </w:pPr>
      <w:r>
        <w:rPr>
          <w:rFonts w:hint="eastAsia"/>
          <w:szCs w:val="21"/>
        </w:rPr>
        <w:t>用户方通过服务电话、服务销售等途径提出现场服务请求或通过远程服务方式未能解决故障问题时，投标方要按照合同相应服务级别要求派遣工程师抵达用户现场提供现场系统故障诊断和处理、硬件故障诊断服务。本次选择7*24（周一到周日，每天24小时）服务级别。</w:t>
      </w:r>
    </w:p>
    <w:p w14:paraId="5590B7D9">
      <w:pPr>
        <w:adjustRightInd w:val="0"/>
        <w:ind w:firstLine="480" w:firstLineChars="200"/>
        <w:rPr>
          <w:szCs w:val="21"/>
        </w:rPr>
      </w:pPr>
      <w:r>
        <w:rPr>
          <w:rFonts w:hint="eastAsia"/>
          <w:szCs w:val="21"/>
        </w:rPr>
        <w:t>对于严重故障（影响用户方业务正常运作的故障），应派遣工程师到现场做技术支持。</w:t>
      </w:r>
    </w:p>
    <w:p w14:paraId="019378BD">
      <w:pPr>
        <w:adjustRightInd w:val="0"/>
        <w:ind w:firstLine="480" w:firstLineChars="200"/>
        <w:rPr>
          <w:szCs w:val="21"/>
        </w:rPr>
      </w:pPr>
      <w:r>
        <w:rPr>
          <w:rFonts w:hint="eastAsia"/>
          <w:szCs w:val="21"/>
        </w:rPr>
        <w:t>响应时间：15分钟以内；</w:t>
      </w:r>
    </w:p>
    <w:p w14:paraId="19E787A8">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到场时间：接到故障通知后，2小时内到达现场；</w:t>
      </w:r>
    </w:p>
    <w:p w14:paraId="340C0D51">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修复时间：到达用户现场后，4小时内恢复。</w:t>
      </w:r>
    </w:p>
    <w:p w14:paraId="61B2B670">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对于一般性故障（不影响用户方业务正常运作的故障），应派遣工程师到现场做技术支持。</w:t>
      </w:r>
    </w:p>
    <w:p w14:paraId="7C11FD9C">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响应时间：15分钟以内；</w:t>
      </w:r>
    </w:p>
    <w:p w14:paraId="5F7BE17A">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到场时间：接到故障通知后，4小时内到达现场；</w:t>
      </w:r>
    </w:p>
    <w:p w14:paraId="58C31671">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修复时间：到达用户现场后，8小时内恢复。</w:t>
      </w:r>
    </w:p>
    <w:p w14:paraId="3458F718">
      <w:pPr>
        <w:adjustRightInd w:val="0"/>
        <w:ind w:firstLine="0" w:firstLineChars="0"/>
        <w:rPr>
          <w:szCs w:val="21"/>
        </w:rPr>
      </w:pPr>
      <w:r>
        <w:rPr>
          <w:rFonts w:hint="eastAsia"/>
          <w:b/>
          <w:bCs/>
          <w:szCs w:val="21"/>
          <w:lang w:val="en-US" w:eastAsia="zh-CN"/>
        </w:rPr>
        <w:t>3.1.3</w:t>
      </w:r>
      <w:r>
        <w:rPr>
          <w:rFonts w:hint="eastAsia"/>
          <w:b/>
          <w:bCs/>
          <w:szCs w:val="21"/>
        </w:rPr>
        <w:t>日常巡检服务:</w:t>
      </w:r>
      <w:r>
        <w:rPr>
          <w:rFonts w:hint="eastAsia"/>
          <w:szCs w:val="21"/>
        </w:rPr>
        <w:t xml:space="preserve"> </w:t>
      </w:r>
    </w:p>
    <w:p w14:paraId="3A436802">
      <w:pPr>
        <w:adjustRightInd w:val="0"/>
        <w:ind w:firstLine="480" w:firstLineChars="200"/>
        <w:rPr>
          <w:szCs w:val="21"/>
        </w:rPr>
      </w:pPr>
      <w:r>
        <w:rPr>
          <w:rFonts w:hint="eastAsia"/>
          <w:szCs w:val="21"/>
        </w:rPr>
        <w:t xml:space="preserve">投标方需每季度安排技术工程师到现场进行软硬件系统的全面巡检服务，包括还在原厂维保期内的软硬件系统全面巡检服务，提供详细巡检报告，并给出优化调整建议。巡检内容主要包括: </w:t>
      </w:r>
    </w:p>
    <w:p w14:paraId="7229374F">
      <w:pPr>
        <w:adjustRightInd w:val="0"/>
        <w:ind w:firstLine="480" w:firstLineChars="200"/>
        <w:rPr>
          <w:szCs w:val="21"/>
        </w:rPr>
      </w:pPr>
      <w:r>
        <w:rPr>
          <w:rFonts w:hint="eastAsia"/>
          <w:szCs w:val="21"/>
        </w:rPr>
        <w:t>PC服务器、存储、网络设备、及其他软硬件的运行状况，及时发现各种隐患，并做出相应处理。</w:t>
      </w:r>
    </w:p>
    <w:p w14:paraId="1DB6ECA5">
      <w:pPr>
        <w:adjustRightInd w:val="0"/>
        <w:ind w:firstLine="480" w:firstLineChars="200"/>
        <w:rPr>
          <w:szCs w:val="21"/>
        </w:rPr>
      </w:pPr>
      <w:r>
        <w:rPr>
          <w:rFonts w:hint="eastAsia"/>
          <w:szCs w:val="21"/>
        </w:rPr>
        <w:t>提供软硬件系统存在的问题报告及其解决方案，提出系统整体架构及技术改进建议。</w:t>
      </w:r>
    </w:p>
    <w:p w14:paraId="6CA9A3AA">
      <w:pPr>
        <w:adjustRightInd w:val="0"/>
        <w:ind w:firstLine="480" w:firstLineChars="200"/>
        <w:rPr>
          <w:szCs w:val="21"/>
        </w:rPr>
      </w:pPr>
      <w:r>
        <w:rPr>
          <w:rFonts w:hint="eastAsia"/>
          <w:szCs w:val="21"/>
        </w:rPr>
        <w:t>检查网络及安全设备运行状况，监测网络流量和可用性，及时发现系统的各种报警信息及网络不安全因素，提出相应的解决方案。</w:t>
      </w:r>
    </w:p>
    <w:p w14:paraId="66A70BBA">
      <w:pPr>
        <w:adjustRightInd w:val="0"/>
        <w:ind w:firstLine="480" w:firstLineChars="200"/>
        <w:rPr>
          <w:szCs w:val="21"/>
        </w:rPr>
      </w:pPr>
      <w:r>
        <w:rPr>
          <w:rFonts w:hint="eastAsia"/>
          <w:szCs w:val="21"/>
        </w:rPr>
        <w:t xml:space="preserve">对机房环境、温度、湿度等各方面进行检查，排除隐患。 </w:t>
      </w:r>
    </w:p>
    <w:p w14:paraId="538981C2">
      <w:pPr>
        <w:adjustRightInd w:val="0"/>
        <w:ind w:firstLine="480" w:firstLineChars="200"/>
        <w:rPr>
          <w:szCs w:val="21"/>
        </w:rPr>
      </w:pPr>
      <w:r>
        <w:rPr>
          <w:rFonts w:hint="eastAsia"/>
          <w:szCs w:val="21"/>
        </w:rPr>
        <w:t>对Vmware ，超融合等软件进行日常性检查，并分析日志报告。</w:t>
      </w:r>
      <w:r>
        <w:rPr>
          <w:rFonts w:hint="eastAsia" w:ascii="宋体" w:hAnsi="宋体" w:cs="宋体"/>
          <w:szCs w:val="21"/>
        </w:rPr>
        <w:t>提供虚拟机的日常管理工作，包括虚拟机模板安装、虚拟机配置修改、虚拟机故障处理</w:t>
      </w:r>
    </w:p>
    <w:p w14:paraId="54EAB05E">
      <w:pPr>
        <w:adjustRightInd w:val="0"/>
        <w:ind w:firstLine="0" w:firstLineChars="0"/>
        <w:rPr>
          <w:szCs w:val="21"/>
        </w:rPr>
      </w:pPr>
      <w:r>
        <w:rPr>
          <w:rFonts w:hint="eastAsia"/>
          <w:szCs w:val="21"/>
        </w:rPr>
        <w:t xml:space="preserve">对于服务范围内的系统软件、应用软件提供版本管理和升级服务。对于发布的相关软件最新版本，与信息中心一起做好升级工作。 </w:t>
      </w:r>
    </w:p>
    <w:p w14:paraId="0E203287">
      <w:pPr>
        <w:adjustRightInd w:val="0"/>
        <w:ind w:firstLine="480" w:firstLineChars="200"/>
        <w:rPr>
          <w:szCs w:val="21"/>
        </w:rPr>
      </w:pPr>
      <w:r>
        <w:rPr>
          <w:rFonts w:hint="eastAsia"/>
          <w:szCs w:val="21"/>
        </w:rPr>
        <w:t>若原厂商发布新的系统软件版本或补丁升级程序，提供系统软件版本和补丁测试，以及软件版本和补丁的升级实施服务。</w:t>
      </w:r>
    </w:p>
    <w:p w14:paraId="4267BDF5">
      <w:pPr>
        <w:adjustRightInd w:val="0"/>
        <w:ind w:firstLine="0" w:firstLineChars="0"/>
        <w:rPr>
          <w:rFonts w:eastAsia="宋体"/>
          <w:b/>
          <w:bCs/>
          <w:szCs w:val="21"/>
        </w:rPr>
      </w:pPr>
      <w:r>
        <w:rPr>
          <w:rFonts w:hint="eastAsia"/>
          <w:b/>
          <w:bCs/>
          <w:szCs w:val="21"/>
          <w:lang w:val="en-US" w:eastAsia="zh-CN"/>
        </w:rPr>
        <w:t>3.1.4</w:t>
      </w:r>
      <w:r>
        <w:rPr>
          <w:rFonts w:hint="eastAsia"/>
          <w:b/>
          <w:bCs/>
          <w:szCs w:val="21"/>
        </w:rPr>
        <w:t>常规性维护服务:</w:t>
      </w:r>
    </w:p>
    <w:p w14:paraId="791B79D1">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服务方须根据用户需要，作好如下维护服务工作：</w:t>
      </w:r>
    </w:p>
    <w:p w14:paraId="0FA61258">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用户系统计划性停机、重启。</w:t>
      </w:r>
    </w:p>
    <w:p w14:paraId="1D0153D4">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用户软硬件系统更正性维护服务。</w:t>
      </w:r>
    </w:p>
    <w:p w14:paraId="04660B11">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用户软硬件系统版本、补丁升级及与之相关的应用数据迁移。</w:t>
      </w:r>
    </w:p>
    <w:p w14:paraId="1D54C197">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针对服务器、磁盘阵列的性能运行情况，进行检测分析，判断是否需要更换或扩容。 </w:t>
      </w:r>
    </w:p>
    <w:p w14:paraId="51E5B2EB">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制定周密的系统应急处理方案并验证其可靠性,并在中标一个月内提供纸质应急方案。</w:t>
      </w:r>
    </w:p>
    <w:p w14:paraId="7094F9F5">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提供软硬件系统技术咨询服务：包含使用咨询服务、扩容扩建技术方案咨询、疑难问题咨询等。</w:t>
      </w:r>
    </w:p>
    <w:p w14:paraId="1722F3A1">
      <w:pPr>
        <w:ind w:left="0"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根据实际情况，完成UPS电池巡检及充放电工作。</w:t>
      </w:r>
    </w:p>
    <w:p w14:paraId="70B24B2B">
      <w:pPr>
        <w:adjustRightInd w:val="0"/>
        <w:ind w:firstLine="0" w:firstLineChars="0"/>
        <w:rPr>
          <w:rFonts w:eastAsia="宋体"/>
          <w:b/>
          <w:bCs/>
          <w:szCs w:val="21"/>
        </w:rPr>
      </w:pPr>
      <w:r>
        <w:rPr>
          <w:rFonts w:hint="eastAsia"/>
          <w:b/>
          <w:bCs/>
          <w:szCs w:val="21"/>
          <w:lang w:val="en-US" w:eastAsia="zh-CN"/>
        </w:rPr>
        <w:t>3.1.5</w:t>
      </w:r>
      <w:r>
        <w:rPr>
          <w:rFonts w:hint="eastAsia"/>
          <w:b/>
          <w:bCs/>
          <w:szCs w:val="21"/>
        </w:rPr>
        <w:t>应急故障处理服务:</w:t>
      </w:r>
    </w:p>
    <w:p w14:paraId="2A5E4474">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服务方接到故障通知电话后，应认真进行故障分析判定等准备工作，15分钟之内做出响应，2小时内赶赴现场提供现场服务。 </w:t>
      </w:r>
    </w:p>
    <w:p w14:paraId="78185345">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针对用户方设备具体应用环境及业务要求，制定出设备在遇到重大故障时的应急处理预案，提出切实可行的备份切换方案及措施，确保生产业务能在最短时间内恢复正常。</w:t>
      </w:r>
    </w:p>
    <w:p w14:paraId="1CE1692F">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当有故障器件需要更换时，须提供同品牌同型号同容量的替换上；用户有升级、扩容需求时，供方须提供一个合理成熟的升级方案，并负责做好整个升级方案实施的配合工作。</w:t>
      </w:r>
    </w:p>
    <w:p w14:paraId="773E4789">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故障处理完毕7个工作日内，维保公司提供“故障分析报告”和“故障处理报告”，并签字盖印章，提交信息中心备案。</w:t>
      </w:r>
    </w:p>
    <w:p w14:paraId="54BB1D38">
      <w:pPr>
        <w:adjustRightInd w:val="0"/>
        <w:ind w:firstLine="0" w:firstLineChars="0"/>
        <w:rPr>
          <w:b/>
          <w:bCs/>
          <w:szCs w:val="21"/>
        </w:rPr>
      </w:pPr>
      <w:r>
        <w:rPr>
          <w:rFonts w:hint="eastAsia"/>
          <w:b/>
          <w:bCs/>
          <w:szCs w:val="21"/>
          <w:lang w:val="en-US" w:eastAsia="zh-CN"/>
        </w:rPr>
        <w:t>3.1.6</w:t>
      </w:r>
      <w:r>
        <w:rPr>
          <w:rFonts w:hint="eastAsia"/>
          <w:b/>
          <w:bCs/>
          <w:szCs w:val="21"/>
        </w:rPr>
        <w:t xml:space="preserve">项目人员要求： </w:t>
      </w:r>
    </w:p>
    <w:p w14:paraId="38613D7B">
      <w:pPr>
        <w:adjustRightInd w:val="0"/>
        <w:ind w:firstLine="48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rPr>
        <w:t>服务方需要为用户方提供</w:t>
      </w:r>
      <w:r>
        <w:rPr>
          <w:rFonts w:hint="eastAsia" w:cs="Times New Roman"/>
          <w:szCs w:val="21"/>
          <w:lang w:val="en-US" w:eastAsia="zh-CN"/>
        </w:rPr>
        <w:t>驻场服务</w:t>
      </w:r>
      <w:r>
        <w:rPr>
          <w:rFonts w:hint="eastAsia" w:ascii="Times New Roman" w:hAnsi="Times New Roman" w:eastAsia="宋体" w:cs="Times New Roman"/>
          <w:szCs w:val="21"/>
        </w:rPr>
        <w:t>和技术支持，并至少为本次招标项目专门指派1名项目经理、1名主机存储工程师、1名网络工程师组织协调并有效、快速的解决本次招标维护保修范围的各类故障，同时要尽量保证人员的稳定。如在维保期间，用户方认为服务方工程师能力有限，可要求投标方更换工程师，服务方需按用户方要求执行。驻场人员1 名驻场两年。驻场人</w:t>
      </w:r>
      <w:r>
        <w:rPr>
          <w:rFonts w:hint="eastAsia" w:ascii="Times New Roman" w:hAnsi="Times New Roman" w:eastAsia="宋体" w:cs="Times New Roman"/>
          <w:szCs w:val="21"/>
          <w:highlight w:val="none"/>
        </w:rPr>
        <w:t>员需具备</w:t>
      </w:r>
      <w:r>
        <w:rPr>
          <w:rFonts w:hint="eastAsia" w:cs="Times New Roman"/>
          <w:szCs w:val="21"/>
          <w:highlight w:val="none"/>
          <w:lang w:val="en-US" w:eastAsia="zh-CN"/>
        </w:rPr>
        <w:t>系统集成项目管理师</w:t>
      </w:r>
      <w:r>
        <w:rPr>
          <w:rFonts w:hint="eastAsia" w:ascii="Times New Roman" w:hAnsi="Times New Roman" w:eastAsia="宋体" w:cs="Times New Roman"/>
          <w:szCs w:val="21"/>
          <w:highlight w:val="none"/>
        </w:rPr>
        <w:t>证书。</w:t>
      </w:r>
    </w:p>
    <w:p w14:paraId="47E696F9">
      <w:pPr>
        <w:adjustRightInd w:val="0"/>
        <w:ind w:firstLine="0" w:firstLineChars="0"/>
        <w:rPr>
          <w:rFonts w:eastAsia="宋体"/>
          <w:b/>
          <w:bCs/>
          <w:szCs w:val="21"/>
        </w:rPr>
      </w:pPr>
      <w:r>
        <w:rPr>
          <w:rFonts w:hint="eastAsia"/>
          <w:b/>
          <w:bCs/>
          <w:szCs w:val="21"/>
          <w:lang w:val="en-US" w:eastAsia="zh-CN"/>
        </w:rPr>
        <w:t>3.1.7</w:t>
      </w:r>
      <w:r>
        <w:rPr>
          <w:rFonts w:hint="eastAsia"/>
          <w:b/>
          <w:bCs/>
          <w:szCs w:val="21"/>
        </w:rPr>
        <w:t>安全保密：</w:t>
      </w:r>
    </w:p>
    <w:p w14:paraId="3241EE88">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A.中标人遵守安全相关规定，加强自身安全教育，做好安全防范意识，在此工作期间产生的一切安全事故问题以及其他后果由投标方自行承担。</w:t>
      </w:r>
    </w:p>
    <w:p w14:paraId="4518ADB9">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B.在项目实施过程中，中标人应严格遵守国家相关保密与安全法律法规，遵循采购人各项安全保密制度和规章。服务工作人员必须对工作中涉及到的业主的数据、文件等任何资料进行保密。</w:t>
      </w:r>
    </w:p>
    <w:p w14:paraId="5809D43E">
      <w:pPr>
        <w:adjustRightInd w:val="0"/>
        <w:ind w:firstLine="0" w:firstLineChars="0"/>
        <w:rPr>
          <w:b/>
          <w:bCs/>
          <w:szCs w:val="21"/>
        </w:rPr>
      </w:pPr>
      <w:r>
        <w:rPr>
          <w:rFonts w:hint="eastAsia"/>
          <w:b/>
          <w:bCs/>
          <w:szCs w:val="21"/>
          <w:lang w:val="en-US" w:eastAsia="zh-CN"/>
        </w:rPr>
        <w:t>3.1.8</w:t>
      </w:r>
      <w:r>
        <w:rPr>
          <w:rFonts w:hint="eastAsia"/>
          <w:b/>
          <w:bCs/>
          <w:szCs w:val="21"/>
        </w:rPr>
        <w:t>其他要求：</w:t>
      </w:r>
    </w:p>
    <w:p w14:paraId="4D849221">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A.弱电线路整理：对中心机房、综合机房、弱电井及全院弱电线路按标准相关要求进行整理，并打上标签。</w:t>
      </w:r>
    </w:p>
    <w:p w14:paraId="5C04F585">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B.在合同签订后2个月内根据医院设备的实际情况，绘制医院网络拓扑图。</w:t>
      </w:r>
    </w:p>
    <w:p w14:paraId="4A5E465C">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C.维护保修服务期限内，本次所投项目的维修维护费用，包括人工费、更换零部件的一切费用均由中标人承担。</w:t>
      </w:r>
    </w:p>
    <w:p w14:paraId="0B22B693">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D.维保服务提供商必须承诺在维保合同生效后必须对采购人的技术人员进行每年不少于一次的技术培训，使其掌握采购人整个维保设备的结构及常见故障判断和维修的知识、技能；</w:t>
      </w:r>
    </w:p>
    <w:p w14:paraId="5DECACA5">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E.在维保中标人提供维保服务期间，有义务为采购人任何相关维保设备改造的技术革新提供协助；</w:t>
      </w:r>
    </w:p>
    <w:p w14:paraId="708D921C">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F.中标人如未能在承诺时间内解决故障或恢复系统运行，使用单位有权请第三方进行处理，所有费用由中标人支付。</w:t>
      </w:r>
    </w:p>
    <w:p w14:paraId="2D4A581F">
      <w:pPr>
        <w:ind w:firstLine="480" w:firstLineChars="200"/>
        <w:rPr>
          <w:rFonts w:hint="eastAsia" w:ascii="Times New Roman" w:hAnsi="Times New Roman" w:eastAsia="宋体" w:cs="Times New Roman"/>
          <w:szCs w:val="21"/>
        </w:rPr>
      </w:pPr>
    </w:p>
    <w:p w14:paraId="74CAAB0E">
      <w:pPr>
        <w:ind w:firstLine="0" w:firstLineChars="0"/>
        <w:rPr>
          <w:rFonts w:hint="eastAsia" w:ascii="Times New Roman" w:hAnsi="Times New Roman" w:eastAsia="宋体" w:cs="Times New Roma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030B9ABF">
      <w:pPr>
        <w:ind w:firstLine="0" w:firstLineChars="0"/>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rPr>
        <w:t>两院区核心业务数据灾备建设标准：</w:t>
      </w:r>
    </w:p>
    <w:p w14:paraId="50F0B821">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HIS数据库容灾建设标准：</w:t>
      </w:r>
    </w:p>
    <w:p w14:paraId="2D2C1016">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技术需求与功能要求：</w:t>
      </w:r>
    </w:p>
    <w:p w14:paraId="27487432">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服务器架构设计：</w:t>
      </w:r>
    </w:p>
    <w:p w14:paraId="58E1E29B">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主院区：部署2台服务器，分别作为主数据库与本地备库（无共享存储）。</w:t>
      </w:r>
    </w:p>
    <w:p w14:paraId="6841452A">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主库：运行Oracle单实例数据库。</w:t>
      </w:r>
    </w:p>
    <w:p w14:paraId="1E3710AC">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本地备库：通过容灾软件实时同步主库数据，作为本地高可用节点。</w:t>
      </w:r>
    </w:p>
    <w:p w14:paraId="7ABDB88D">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容灾院区：部署1台服务器，作为远程容灾库，通过容灾软件同步主库数据。</w:t>
      </w:r>
    </w:p>
    <w:p w14:paraId="697A34CD">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主院区高可用方案：</w:t>
      </w:r>
    </w:p>
    <w:p w14:paraId="3ECB69DB">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采用本地高可用架构；实现主库与本地备库建设。</w:t>
      </w:r>
    </w:p>
    <w:p w14:paraId="3D0C0C4A">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故障切换机制：</w:t>
      </w:r>
    </w:p>
    <w:p w14:paraId="1480C7FD">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主库故障时，备库一键接管。</w:t>
      </w:r>
    </w:p>
    <w:p w14:paraId="62ABBDD7">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主库备库同时故障时，远程容灾一键启用。 </w:t>
      </w:r>
    </w:p>
    <w:p w14:paraId="47E1CC75">
      <w:pPr>
        <w:adjustRightInd w:val="0"/>
        <w:ind w:left="0"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支持通过容灾软件实现一键自动化切换。</w:t>
      </w:r>
    </w:p>
    <w:p w14:paraId="76B20D06">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跨院区容灾方案：</w:t>
      </w:r>
    </w:p>
    <w:p w14:paraId="2A0BAC8A">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远程容灾库同步：</w:t>
      </w:r>
    </w:p>
    <w:p w14:paraId="22813EED">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数据同步技术：</w:t>
      </w:r>
    </w:p>
    <w:p w14:paraId="2B931E5A">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主库通过容灾软件向容灾院区传输数据，保障RPO≤1分钟。</w:t>
      </w:r>
    </w:p>
    <w:p w14:paraId="5A63E1F3">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容灾库配置为物理备库（Physical Standby），支持快速激活为生产库。</w:t>
      </w:r>
    </w:p>
    <w:p w14:paraId="501B200C">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应急与演练方案：</w:t>
      </w:r>
    </w:p>
    <w:p w14:paraId="50115F1C">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主院区故障场景：</w:t>
      </w:r>
    </w:p>
    <w:p w14:paraId="50314023">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主库故障时，优先切换到本地备库；若本地备库不可用，则激活容灾库。</w:t>
      </w:r>
    </w:p>
    <w:p w14:paraId="662757D5">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容灾演练：</w:t>
      </w:r>
    </w:p>
    <w:p w14:paraId="08009CA0">
      <w:pPr>
        <w:adjustRightInd w:val="0"/>
        <w:ind w:firstLine="48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每年度模拟主院区双节点故障，验证容灾库接管流程，全程耗时≤30分钟。</w:t>
      </w:r>
    </w:p>
    <w:p w14:paraId="40AE8BDF">
      <w:pPr>
        <w:adjustRightInd w:val="0"/>
        <w:ind w:firstLine="480" w:firstLineChars="200"/>
        <w:rPr>
          <w:rFonts w:eastAsia="宋体"/>
          <w:szCs w:val="21"/>
        </w:rPr>
      </w:pPr>
      <w:r>
        <w:rPr>
          <w:rFonts w:hint="eastAsia" w:eastAsia="宋体"/>
          <w:szCs w:val="21"/>
          <w:lang w:val="en-US" w:eastAsia="zh-CN"/>
        </w:rPr>
        <w:t>5、</w:t>
      </w:r>
      <w:r>
        <w:rPr>
          <w:rFonts w:hint="eastAsia" w:eastAsia="宋体"/>
          <w:szCs w:val="21"/>
        </w:rPr>
        <w:t>服务器建设需求标准:</w:t>
      </w:r>
    </w:p>
    <w:tbl>
      <w:tblPr>
        <w:tblStyle w:val="62"/>
        <w:tblW w:w="5039" w:type="pct"/>
        <w:jc w:val="center"/>
        <w:tblLayout w:type="autofit"/>
        <w:tblCellMar>
          <w:top w:w="0" w:type="dxa"/>
          <w:left w:w="108" w:type="dxa"/>
          <w:bottom w:w="0" w:type="dxa"/>
          <w:right w:w="108" w:type="dxa"/>
        </w:tblCellMar>
      </w:tblPr>
      <w:tblGrid>
        <w:gridCol w:w="1275"/>
        <w:gridCol w:w="7319"/>
      </w:tblGrid>
      <w:tr w14:paraId="391EA01C">
        <w:tblPrEx>
          <w:tblCellMar>
            <w:top w:w="0" w:type="dxa"/>
            <w:left w:w="108" w:type="dxa"/>
            <w:bottom w:w="0" w:type="dxa"/>
            <w:right w:w="108" w:type="dxa"/>
          </w:tblCellMar>
        </w:tblPrEx>
        <w:trPr>
          <w:trHeight w:val="7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020A2AAC">
            <w:pPr>
              <w:autoSpaceDE w:val="0"/>
              <w:autoSpaceDN w:val="0"/>
              <w:snapToGrid w:val="0"/>
              <w:ind w:firstLine="0" w:firstLineChars="0"/>
              <w:jc w:val="center"/>
              <w:rPr>
                <w:rFonts w:hint="eastAsia" w:ascii="宋体" w:hAnsi="宋体" w:eastAsia="宋体" w:cs="宋体"/>
                <w:b/>
                <w:bCs/>
                <w:szCs w:val="21"/>
                <w:lang w:val="zh-CN"/>
              </w:rPr>
            </w:pPr>
            <w:r>
              <w:rPr>
                <w:rFonts w:hint="eastAsia" w:ascii="宋体" w:hAnsi="宋体" w:eastAsia="宋体" w:cs="宋体"/>
                <w:b/>
                <w:bCs/>
                <w:szCs w:val="21"/>
                <w:lang w:val="zh-CN"/>
              </w:rPr>
              <w:t>技术指标</w:t>
            </w:r>
          </w:p>
        </w:tc>
        <w:tc>
          <w:tcPr>
            <w:tcW w:w="4257" w:type="pct"/>
            <w:tcBorders>
              <w:top w:val="single" w:color="auto" w:sz="4" w:space="0"/>
              <w:left w:val="nil"/>
              <w:bottom w:val="single" w:color="auto" w:sz="4" w:space="0"/>
              <w:right w:val="single" w:color="auto" w:sz="4" w:space="0"/>
            </w:tcBorders>
            <w:vAlign w:val="center"/>
          </w:tcPr>
          <w:p w14:paraId="56BE3B16">
            <w:pPr>
              <w:autoSpaceDE w:val="0"/>
              <w:autoSpaceDN w:val="0"/>
              <w:snapToGrid w:val="0"/>
              <w:ind w:firstLine="0" w:firstLineChars="0"/>
              <w:jc w:val="center"/>
              <w:rPr>
                <w:rFonts w:hint="eastAsia" w:ascii="宋体" w:hAnsi="宋体" w:eastAsia="宋体" w:cs="宋体"/>
                <w:b/>
                <w:bCs/>
                <w:szCs w:val="21"/>
                <w:lang w:val="zh-CN"/>
              </w:rPr>
            </w:pPr>
            <w:r>
              <w:rPr>
                <w:rFonts w:hint="eastAsia" w:ascii="宋体" w:hAnsi="宋体" w:eastAsia="宋体" w:cs="宋体"/>
                <w:b/>
                <w:bCs/>
                <w:szCs w:val="21"/>
                <w:lang w:val="zh-CN"/>
              </w:rPr>
              <w:t>指标要求</w:t>
            </w:r>
          </w:p>
        </w:tc>
      </w:tr>
      <w:tr w14:paraId="159B1CA4">
        <w:tblPrEx>
          <w:tblCellMar>
            <w:top w:w="0" w:type="dxa"/>
            <w:left w:w="108" w:type="dxa"/>
            <w:bottom w:w="0" w:type="dxa"/>
            <w:right w:w="108" w:type="dxa"/>
          </w:tblCellMar>
        </w:tblPrEx>
        <w:trPr>
          <w:trHeight w:val="7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7A10C510">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整体要求</w:t>
            </w:r>
          </w:p>
        </w:tc>
        <w:tc>
          <w:tcPr>
            <w:tcW w:w="4257" w:type="pct"/>
            <w:tcBorders>
              <w:top w:val="single" w:color="auto" w:sz="4" w:space="0"/>
              <w:left w:val="nil"/>
              <w:bottom w:val="single" w:color="auto" w:sz="4" w:space="0"/>
              <w:right w:val="single" w:color="auto" w:sz="4" w:space="0"/>
            </w:tcBorders>
            <w:vAlign w:val="center"/>
          </w:tcPr>
          <w:p w14:paraId="1C4F7B6A">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国产品牌，非OEM或贴牌产品，2U机架式服务器, 含安装导轨。</w:t>
            </w:r>
          </w:p>
        </w:tc>
      </w:tr>
      <w:tr w14:paraId="7610A7EE">
        <w:tblPrEx>
          <w:tblCellMar>
            <w:top w:w="0" w:type="dxa"/>
            <w:left w:w="108" w:type="dxa"/>
            <w:bottom w:w="0" w:type="dxa"/>
            <w:right w:w="108" w:type="dxa"/>
          </w:tblCellMar>
        </w:tblPrEx>
        <w:trPr>
          <w:trHeight w:val="70" w:hRule="atLeast"/>
          <w:jc w:val="center"/>
        </w:trPr>
        <w:tc>
          <w:tcPr>
            <w:tcW w:w="742" w:type="pct"/>
            <w:vMerge w:val="restart"/>
            <w:tcBorders>
              <w:top w:val="single" w:color="auto" w:sz="4" w:space="0"/>
              <w:left w:val="single" w:color="auto" w:sz="4" w:space="0"/>
              <w:right w:val="single" w:color="auto" w:sz="4" w:space="0"/>
            </w:tcBorders>
            <w:vAlign w:val="center"/>
          </w:tcPr>
          <w:p w14:paraId="2B2D8F16">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基本配置</w:t>
            </w:r>
          </w:p>
        </w:tc>
        <w:tc>
          <w:tcPr>
            <w:tcW w:w="4257" w:type="pct"/>
            <w:tcBorders>
              <w:top w:val="single" w:color="auto" w:sz="4" w:space="0"/>
              <w:left w:val="nil"/>
              <w:bottom w:val="single" w:color="auto" w:sz="4" w:space="0"/>
              <w:right w:val="single" w:color="auto" w:sz="4" w:space="0"/>
            </w:tcBorders>
            <w:vAlign w:val="center"/>
          </w:tcPr>
          <w:p w14:paraId="7557117D">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处理器：配置≥1颗intel第四代至强可扩展处理器，要求CPU主频≥2.0GHz，CPU物理核数≥20Core。</w:t>
            </w:r>
          </w:p>
        </w:tc>
      </w:tr>
      <w:tr w14:paraId="1584E7C7">
        <w:tblPrEx>
          <w:tblCellMar>
            <w:top w:w="0" w:type="dxa"/>
            <w:left w:w="108" w:type="dxa"/>
            <w:bottom w:w="0" w:type="dxa"/>
            <w:right w:w="108" w:type="dxa"/>
          </w:tblCellMar>
        </w:tblPrEx>
        <w:trPr>
          <w:trHeight w:val="70" w:hRule="atLeast"/>
          <w:jc w:val="center"/>
        </w:trPr>
        <w:tc>
          <w:tcPr>
            <w:tcW w:w="742" w:type="pct"/>
            <w:vMerge w:val="continue"/>
            <w:tcBorders>
              <w:left w:val="single" w:color="auto" w:sz="4" w:space="0"/>
              <w:right w:val="single" w:color="auto" w:sz="4" w:space="0"/>
            </w:tcBorders>
            <w:vAlign w:val="center"/>
          </w:tcPr>
          <w:p w14:paraId="0C5EB8CC">
            <w:pPr>
              <w:autoSpaceDE w:val="0"/>
              <w:autoSpaceDN w:val="0"/>
              <w:snapToGrid w:val="0"/>
              <w:ind w:firstLine="0" w:firstLineChars="0"/>
              <w:jc w:val="left"/>
              <w:rPr>
                <w:rFonts w:hint="eastAsia" w:ascii="宋体" w:hAnsi="宋体" w:eastAsia="宋体" w:cs="宋体"/>
                <w:szCs w:val="21"/>
                <w:lang w:val="zh-CN"/>
              </w:rPr>
            </w:pPr>
          </w:p>
        </w:tc>
        <w:tc>
          <w:tcPr>
            <w:tcW w:w="4257" w:type="pct"/>
            <w:tcBorders>
              <w:top w:val="nil"/>
              <w:left w:val="nil"/>
              <w:bottom w:val="single" w:color="auto" w:sz="4" w:space="0"/>
              <w:right w:val="single" w:color="auto" w:sz="4" w:space="0"/>
            </w:tcBorders>
            <w:vAlign w:val="center"/>
          </w:tcPr>
          <w:p w14:paraId="61AC328D">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内存：配置≥16*32GB 4800MHz DDR5内存。</w:t>
            </w:r>
          </w:p>
        </w:tc>
      </w:tr>
      <w:tr w14:paraId="764AAFEF">
        <w:tblPrEx>
          <w:tblCellMar>
            <w:top w:w="0" w:type="dxa"/>
            <w:left w:w="108" w:type="dxa"/>
            <w:bottom w:w="0" w:type="dxa"/>
            <w:right w:w="108" w:type="dxa"/>
          </w:tblCellMar>
        </w:tblPrEx>
        <w:trPr>
          <w:trHeight w:val="70" w:hRule="atLeast"/>
          <w:jc w:val="center"/>
        </w:trPr>
        <w:tc>
          <w:tcPr>
            <w:tcW w:w="742" w:type="pct"/>
            <w:vMerge w:val="continue"/>
            <w:tcBorders>
              <w:left w:val="single" w:color="auto" w:sz="4" w:space="0"/>
              <w:right w:val="single" w:color="auto" w:sz="4" w:space="0"/>
            </w:tcBorders>
            <w:vAlign w:val="center"/>
          </w:tcPr>
          <w:p w14:paraId="394AF085">
            <w:pPr>
              <w:autoSpaceDE w:val="0"/>
              <w:autoSpaceDN w:val="0"/>
              <w:snapToGrid w:val="0"/>
              <w:ind w:firstLine="0" w:firstLineChars="0"/>
              <w:jc w:val="left"/>
              <w:rPr>
                <w:rFonts w:hint="eastAsia" w:ascii="宋体" w:hAnsi="宋体" w:eastAsia="宋体" w:cs="宋体"/>
                <w:szCs w:val="21"/>
                <w:lang w:val="zh-CN"/>
              </w:rPr>
            </w:pPr>
          </w:p>
        </w:tc>
        <w:tc>
          <w:tcPr>
            <w:tcW w:w="4257" w:type="pct"/>
            <w:tcBorders>
              <w:top w:val="nil"/>
              <w:left w:val="nil"/>
              <w:bottom w:val="single" w:color="auto" w:sz="4" w:space="0"/>
              <w:right w:val="single" w:color="auto" w:sz="4" w:space="0"/>
            </w:tcBorders>
            <w:vAlign w:val="center"/>
          </w:tcPr>
          <w:p w14:paraId="0C54524C">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 xml:space="preserve">硬盘：配置≥3块1.92TB SSD，≥12个3.5英寸硬盘插槽。 </w:t>
            </w:r>
          </w:p>
        </w:tc>
      </w:tr>
      <w:tr w14:paraId="4DFA0087">
        <w:tblPrEx>
          <w:tblCellMar>
            <w:top w:w="0" w:type="dxa"/>
            <w:left w:w="108" w:type="dxa"/>
            <w:bottom w:w="0" w:type="dxa"/>
            <w:right w:w="108" w:type="dxa"/>
          </w:tblCellMar>
        </w:tblPrEx>
        <w:trPr>
          <w:trHeight w:val="70" w:hRule="atLeast"/>
          <w:jc w:val="center"/>
        </w:trPr>
        <w:tc>
          <w:tcPr>
            <w:tcW w:w="742" w:type="pct"/>
            <w:vMerge w:val="continue"/>
            <w:tcBorders>
              <w:left w:val="single" w:color="auto" w:sz="4" w:space="0"/>
              <w:right w:val="single" w:color="auto" w:sz="4" w:space="0"/>
            </w:tcBorders>
            <w:vAlign w:val="center"/>
          </w:tcPr>
          <w:p w14:paraId="29F66CD3">
            <w:pPr>
              <w:autoSpaceDE w:val="0"/>
              <w:autoSpaceDN w:val="0"/>
              <w:snapToGrid w:val="0"/>
              <w:ind w:firstLine="0" w:firstLineChars="0"/>
              <w:jc w:val="left"/>
              <w:rPr>
                <w:rFonts w:hint="eastAsia" w:ascii="宋体" w:hAnsi="宋体" w:eastAsia="宋体" w:cs="宋体"/>
                <w:szCs w:val="21"/>
                <w:lang w:val="zh-CN"/>
              </w:rPr>
            </w:pPr>
          </w:p>
        </w:tc>
        <w:tc>
          <w:tcPr>
            <w:tcW w:w="4257" w:type="pct"/>
            <w:tcBorders>
              <w:top w:val="nil"/>
              <w:left w:val="nil"/>
              <w:bottom w:val="single" w:color="auto" w:sz="4" w:space="0"/>
              <w:right w:val="single" w:color="auto" w:sz="4" w:space="0"/>
            </w:tcBorders>
            <w:vAlign w:val="center"/>
          </w:tcPr>
          <w:p w14:paraId="20E012C0">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RAID卡：配置一块RAID卡, 支持raid0/1/10/5/6。</w:t>
            </w:r>
          </w:p>
        </w:tc>
      </w:tr>
      <w:tr w14:paraId="776167DD">
        <w:tblPrEx>
          <w:tblCellMar>
            <w:top w:w="0" w:type="dxa"/>
            <w:left w:w="108" w:type="dxa"/>
            <w:bottom w:w="0" w:type="dxa"/>
            <w:right w:w="108" w:type="dxa"/>
          </w:tblCellMar>
        </w:tblPrEx>
        <w:trPr>
          <w:trHeight w:val="70" w:hRule="atLeast"/>
          <w:jc w:val="center"/>
        </w:trPr>
        <w:tc>
          <w:tcPr>
            <w:tcW w:w="742" w:type="pct"/>
            <w:vMerge w:val="continue"/>
            <w:tcBorders>
              <w:left w:val="single" w:color="auto" w:sz="4" w:space="0"/>
              <w:right w:val="single" w:color="auto" w:sz="4" w:space="0"/>
            </w:tcBorders>
            <w:vAlign w:val="center"/>
          </w:tcPr>
          <w:p w14:paraId="582A1C0B">
            <w:pPr>
              <w:autoSpaceDE w:val="0"/>
              <w:autoSpaceDN w:val="0"/>
              <w:snapToGrid w:val="0"/>
              <w:ind w:firstLine="0" w:firstLineChars="0"/>
              <w:jc w:val="left"/>
              <w:rPr>
                <w:rFonts w:hint="eastAsia" w:ascii="宋体" w:hAnsi="宋体" w:eastAsia="宋体" w:cs="宋体"/>
                <w:szCs w:val="21"/>
                <w:lang w:val="zh-CN"/>
              </w:rPr>
            </w:pPr>
          </w:p>
        </w:tc>
        <w:tc>
          <w:tcPr>
            <w:tcW w:w="4257" w:type="pct"/>
            <w:tcBorders>
              <w:top w:val="nil"/>
              <w:left w:val="nil"/>
              <w:bottom w:val="single" w:color="auto" w:sz="4" w:space="0"/>
              <w:right w:val="single" w:color="auto" w:sz="4" w:space="0"/>
            </w:tcBorders>
            <w:vAlign w:val="center"/>
          </w:tcPr>
          <w:p w14:paraId="71F9B22A">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网卡：配置≥1块双端口千兆电口网卡。</w:t>
            </w:r>
          </w:p>
        </w:tc>
      </w:tr>
      <w:tr w14:paraId="6BC6CBCE">
        <w:tblPrEx>
          <w:tblCellMar>
            <w:top w:w="0" w:type="dxa"/>
            <w:left w:w="108" w:type="dxa"/>
            <w:bottom w:w="0" w:type="dxa"/>
            <w:right w:w="108" w:type="dxa"/>
          </w:tblCellMar>
        </w:tblPrEx>
        <w:trPr>
          <w:trHeight w:val="70" w:hRule="atLeast"/>
          <w:jc w:val="center"/>
        </w:trPr>
        <w:tc>
          <w:tcPr>
            <w:tcW w:w="742" w:type="pct"/>
            <w:vMerge w:val="continue"/>
            <w:tcBorders>
              <w:left w:val="single" w:color="auto" w:sz="4" w:space="0"/>
              <w:bottom w:val="single" w:color="auto" w:sz="4" w:space="0"/>
              <w:right w:val="single" w:color="auto" w:sz="4" w:space="0"/>
            </w:tcBorders>
            <w:vAlign w:val="center"/>
          </w:tcPr>
          <w:p w14:paraId="77B0F7EB">
            <w:pPr>
              <w:autoSpaceDE w:val="0"/>
              <w:autoSpaceDN w:val="0"/>
              <w:snapToGrid w:val="0"/>
              <w:ind w:firstLine="0" w:firstLineChars="0"/>
              <w:jc w:val="left"/>
              <w:rPr>
                <w:rFonts w:hint="eastAsia" w:ascii="宋体" w:hAnsi="宋体" w:eastAsia="宋体" w:cs="宋体"/>
                <w:szCs w:val="21"/>
                <w:lang w:val="zh-CN"/>
              </w:rPr>
            </w:pPr>
          </w:p>
        </w:tc>
        <w:tc>
          <w:tcPr>
            <w:tcW w:w="4257" w:type="pct"/>
            <w:tcBorders>
              <w:top w:val="nil"/>
              <w:left w:val="nil"/>
              <w:bottom w:val="single" w:color="auto" w:sz="4" w:space="0"/>
              <w:right w:val="single" w:color="auto" w:sz="4" w:space="0"/>
            </w:tcBorders>
            <w:vAlign w:val="center"/>
          </w:tcPr>
          <w:p w14:paraId="179B2DD7">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电源及风扇：配置≥900W白金冗余（1+1）热插拔交流电源；配置热拔插冗余对旋风扇，支持N+1冗余。</w:t>
            </w:r>
          </w:p>
        </w:tc>
      </w:tr>
      <w:tr w14:paraId="0A8273B3">
        <w:tblPrEx>
          <w:tblCellMar>
            <w:top w:w="0" w:type="dxa"/>
            <w:left w:w="108" w:type="dxa"/>
            <w:bottom w:w="0" w:type="dxa"/>
            <w:right w:w="108" w:type="dxa"/>
          </w:tblCellMar>
        </w:tblPrEx>
        <w:trPr>
          <w:trHeight w:val="60" w:hRule="atLeast"/>
          <w:jc w:val="center"/>
        </w:trPr>
        <w:tc>
          <w:tcPr>
            <w:tcW w:w="742" w:type="pct"/>
            <w:tcBorders>
              <w:top w:val="nil"/>
              <w:left w:val="single" w:color="auto" w:sz="4" w:space="0"/>
              <w:bottom w:val="single" w:color="auto" w:sz="4" w:space="0"/>
              <w:right w:val="single" w:color="auto" w:sz="4" w:space="0"/>
            </w:tcBorders>
            <w:vAlign w:val="center"/>
          </w:tcPr>
          <w:p w14:paraId="21FC3A90">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OCP</w:t>
            </w:r>
          </w:p>
        </w:tc>
        <w:tc>
          <w:tcPr>
            <w:tcW w:w="4257" w:type="pct"/>
            <w:tcBorders>
              <w:top w:val="nil"/>
              <w:left w:val="nil"/>
              <w:bottom w:val="single" w:color="auto" w:sz="4" w:space="0"/>
              <w:right w:val="single" w:color="auto" w:sz="4" w:space="0"/>
            </w:tcBorders>
            <w:vAlign w:val="center"/>
          </w:tcPr>
          <w:p w14:paraId="0AE41130">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支持≥2个OCP3.0接口，不占用PCIE插槽。</w:t>
            </w:r>
          </w:p>
        </w:tc>
      </w:tr>
      <w:tr w14:paraId="2BB783F2">
        <w:tblPrEx>
          <w:tblCellMar>
            <w:top w:w="0" w:type="dxa"/>
            <w:left w:w="108" w:type="dxa"/>
            <w:bottom w:w="0" w:type="dxa"/>
            <w:right w:w="108" w:type="dxa"/>
          </w:tblCellMar>
        </w:tblPrEx>
        <w:trPr>
          <w:trHeight w:val="60" w:hRule="atLeast"/>
          <w:jc w:val="center"/>
        </w:trPr>
        <w:tc>
          <w:tcPr>
            <w:tcW w:w="742" w:type="pct"/>
            <w:tcBorders>
              <w:top w:val="nil"/>
              <w:left w:val="single" w:color="auto" w:sz="4" w:space="0"/>
              <w:bottom w:val="single" w:color="auto" w:sz="4" w:space="0"/>
              <w:right w:val="single" w:color="auto" w:sz="4" w:space="0"/>
            </w:tcBorders>
            <w:vAlign w:val="center"/>
          </w:tcPr>
          <w:p w14:paraId="6BECA643">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★扩展性</w:t>
            </w:r>
          </w:p>
        </w:tc>
        <w:tc>
          <w:tcPr>
            <w:tcW w:w="4257" w:type="pct"/>
            <w:tcBorders>
              <w:top w:val="nil"/>
              <w:left w:val="nil"/>
              <w:bottom w:val="single" w:color="auto" w:sz="4" w:space="0"/>
              <w:right w:val="single" w:color="auto" w:sz="4" w:space="0"/>
            </w:tcBorders>
            <w:vAlign w:val="center"/>
          </w:tcPr>
          <w:p w14:paraId="3466C6B4">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支持≥17个标准PCIe扩展槽位，支持4个双宽GPU加速卡或14个单宽GPU加速卡，</w:t>
            </w:r>
            <w:r>
              <w:rPr>
                <w:rFonts w:hint="eastAsia" w:ascii="宋体" w:hAnsi="宋体" w:eastAsia="宋体" w:cs="宋体"/>
                <w:szCs w:val="21"/>
                <w:lang w:val="en-US" w:eastAsia="zh-CN"/>
              </w:rPr>
              <w:t>投标时</w:t>
            </w:r>
            <w:r>
              <w:rPr>
                <w:rFonts w:hint="eastAsia" w:ascii="宋体" w:hAnsi="宋体" w:eastAsia="宋体" w:cs="宋体"/>
                <w:szCs w:val="21"/>
                <w:lang w:val="zh-CN"/>
              </w:rPr>
              <w:t>提供</w:t>
            </w:r>
            <w:r>
              <w:rPr>
                <w:rFonts w:hint="eastAsia" w:ascii="宋体" w:hAnsi="宋体" w:eastAsia="宋体" w:cs="宋体"/>
                <w:szCs w:val="21"/>
                <w:lang w:val="en-US" w:eastAsia="zh-CN"/>
              </w:rPr>
              <w:t>厂家</w:t>
            </w:r>
            <w:r>
              <w:rPr>
                <w:rFonts w:hint="eastAsia" w:ascii="宋体" w:hAnsi="宋体" w:eastAsia="宋体" w:cs="宋体"/>
                <w:szCs w:val="21"/>
                <w:lang w:val="zh-CN"/>
              </w:rPr>
              <w:t>官网证明材料。</w:t>
            </w:r>
          </w:p>
        </w:tc>
      </w:tr>
      <w:tr w14:paraId="2AFF1C46">
        <w:tblPrEx>
          <w:tblCellMar>
            <w:top w:w="0" w:type="dxa"/>
            <w:left w:w="108" w:type="dxa"/>
            <w:bottom w:w="0" w:type="dxa"/>
            <w:right w:w="108" w:type="dxa"/>
          </w:tblCellMar>
        </w:tblPrEx>
        <w:trPr>
          <w:trHeight w:val="60" w:hRule="atLeast"/>
          <w:jc w:val="center"/>
        </w:trPr>
        <w:tc>
          <w:tcPr>
            <w:tcW w:w="742" w:type="pct"/>
            <w:tcBorders>
              <w:top w:val="nil"/>
              <w:left w:val="single" w:color="auto" w:sz="4" w:space="0"/>
              <w:bottom w:val="single" w:color="auto" w:sz="4" w:space="0"/>
              <w:right w:val="single" w:color="auto" w:sz="4" w:space="0"/>
            </w:tcBorders>
            <w:vAlign w:val="center"/>
          </w:tcPr>
          <w:p w14:paraId="4CBB3561">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环境温度</w:t>
            </w:r>
          </w:p>
        </w:tc>
        <w:tc>
          <w:tcPr>
            <w:tcW w:w="4257" w:type="pct"/>
            <w:tcBorders>
              <w:top w:val="nil"/>
              <w:left w:val="nil"/>
              <w:bottom w:val="single" w:color="auto" w:sz="4" w:space="0"/>
              <w:right w:val="single" w:color="auto" w:sz="4" w:space="0"/>
            </w:tcBorders>
            <w:vAlign w:val="center"/>
          </w:tcPr>
          <w:p w14:paraId="1DECC36F">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工作温度支持：5ºC～50ºC（41ºF～122ºF）。</w:t>
            </w:r>
          </w:p>
        </w:tc>
      </w:tr>
      <w:tr w14:paraId="7228B5CD">
        <w:tblPrEx>
          <w:tblCellMar>
            <w:top w:w="0" w:type="dxa"/>
            <w:left w:w="108" w:type="dxa"/>
            <w:bottom w:w="0" w:type="dxa"/>
            <w:right w:w="108" w:type="dxa"/>
          </w:tblCellMar>
        </w:tblPrEx>
        <w:trPr>
          <w:trHeight w:val="6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0C7BD21F">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故障诊断</w:t>
            </w:r>
          </w:p>
        </w:tc>
        <w:tc>
          <w:tcPr>
            <w:tcW w:w="4257" w:type="pct"/>
            <w:tcBorders>
              <w:top w:val="nil"/>
              <w:left w:val="nil"/>
              <w:bottom w:val="single" w:color="auto" w:sz="4" w:space="0"/>
              <w:right w:val="single" w:color="auto" w:sz="4" w:space="0"/>
            </w:tcBorders>
            <w:vAlign w:val="center"/>
          </w:tcPr>
          <w:p w14:paraId="5DB10CBA">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支持内存故障隔离功能,支持内存UCE Non-Fatal/PCIe标卡UCE故障精准告警功能，需要包含故障内存/PCIe的具体槽位信息，</w:t>
            </w:r>
            <w:r>
              <w:rPr>
                <w:rFonts w:hint="eastAsia" w:ascii="宋体" w:hAnsi="宋体" w:eastAsia="宋体" w:cs="宋体"/>
                <w:szCs w:val="21"/>
                <w:lang w:val="en-US" w:eastAsia="zh-CN"/>
              </w:rPr>
              <w:t>投标时</w:t>
            </w:r>
            <w:r>
              <w:rPr>
                <w:rFonts w:hint="eastAsia" w:ascii="宋体" w:hAnsi="宋体" w:eastAsia="宋体" w:cs="宋体"/>
                <w:szCs w:val="21"/>
                <w:lang w:val="zh-CN"/>
              </w:rPr>
              <w:t>提供</w:t>
            </w:r>
            <w:r>
              <w:rPr>
                <w:rFonts w:hint="eastAsia" w:ascii="宋体" w:hAnsi="宋体" w:eastAsia="宋体" w:cs="宋体"/>
                <w:szCs w:val="21"/>
                <w:lang w:val="en-US" w:eastAsia="zh-CN"/>
              </w:rPr>
              <w:t>厂家</w:t>
            </w:r>
            <w:r>
              <w:rPr>
                <w:rFonts w:hint="eastAsia" w:ascii="宋体" w:hAnsi="宋体" w:eastAsia="宋体" w:cs="宋体"/>
                <w:szCs w:val="21"/>
                <w:lang w:val="zh-CN"/>
              </w:rPr>
              <w:t>官网证明材料。</w:t>
            </w:r>
          </w:p>
        </w:tc>
      </w:tr>
      <w:tr w14:paraId="4DB5DB2A">
        <w:tblPrEx>
          <w:tblCellMar>
            <w:top w:w="0" w:type="dxa"/>
            <w:left w:w="108" w:type="dxa"/>
            <w:bottom w:w="0" w:type="dxa"/>
            <w:right w:w="108" w:type="dxa"/>
          </w:tblCellMar>
        </w:tblPrEx>
        <w:trPr>
          <w:trHeight w:val="60" w:hRule="atLeast"/>
          <w:jc w:val="center"/>
        </w:trPr>
        <w:tc>
          <w:tcPr>
            <w:tcW w:w="742" w:type="pct"/>
            <w:vMerge w:val="restart"/>
            <w:tcBorders>
              <w:top w:val="single" w:color="auto" w:sz="4" w:space="0"/>
              <w:left w:val="single" w:color="auto" w:sz="4" w:space="0"/>
              <w:right w:val="single" w:color="auto" w:sz="4" w:space="0"/>
            </w:tcBorders>
            <w:vAlign w:val="center"/>
          </w:tcPr>
          <w:p w14:paraId="3A3B5F68">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★安全可靠</w:t>
            </w:r>
          </w:p>
        </w:tc>
        <w:tc>
          <w:tcPr>
            <w:tcW w:w="4257" w:type="pct"/>
            <w:tcBorders>
              <w:top w:val="nil"/>
              <w:left w:val="nil"/>
              <w:bottom w:val="single" w:color="auto" w:sz="4" w:space="0"/>
              <w:right w:val="single" w:color="auto" w:sz="4" w:space="0"/>
            </w:tcBorders>
            <w:vAlign w:val="center"/>
          </w:tcPr>
          <w:p w14:paraId="77B43E51">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支持SNMP SHA256/SHA384/SHA512鉴权算法和AES256加密算法, 可以有效保证SNMP接口数据的机密性，降低数据泄露或篡改的安全风险，</w:t>
            </w:r>
            <w:r>
              <w:rPr>
                <w:rFonts w:hint="eastAsia" w:ascii="宋体" w:hAnsi="宋体" w:eastAsia="宋体" w:cs="宋体"/>
                <w:szCs w:val="21"/>
                <w:lang w:val="en-US" w:eastAsia="zh-CN"/>
              </w:rPr>
              <w:t>投标时</w:t>
            </w:r>
            <w:r>
              <w:rPr>
                <w:rFonts w:hint="eastAsia" w:ascii="宋体" w:hAnsi="宋体" w:eastAsia="宋体" w:cs="宋体"/>
                <w:szCs w:val="21"/>
                <w:lang w:val="zh-CN"/>
              </w:rPr>
              <w:t>提供</w:t>
            </w:r>
            <w:r>
              <w:rPr>
                <w:rFonts w:hint="eastAsia" w:ascii="宋体" w:hAnsi="宋体" w:eastAsia="宋体" w:cs="宋体"/>
                <w:szCs w:val="21"/>
                <w:lang w:val="en-US" w:eastAsia="zh-CN"/>
              </w:rPr>
              <w:t>厂家</w:t>
            </w:r>
            <w:r>
              <w:rPr>
                <w:rFonts w:hint="eastAsia" w:ascii="宋体" w:hAnsi="宋体" w:eastAsia="宋体" w:cs="宋体"/>
                <w:szCs w:val="21"/>
                <w:lang w:val="zh-CN"/>
              </w:rPr>
              <w:t>官网证明材料。</w:t>
            </w:r>
          </w:p>
        </w:tc>
      </w:tr>
      <w:tr w14:paraId="15C60F6F">
        <w:tblPrEx>
          <w:tblCellMar>
            <w:top w:w="0" w:type="dxa"/>
            <w:left w:w="108" w:type="dxa"/>
            <w:bottom w:w="0" w:type="dxa"/>
            <w:right w:w="108" w:type="dxa"/>
          </w:tblCellMar>
        </w:tblPrEx>
        <w:trPr>
          <w:trHeight w:val="60" w:hRule="atLeast"/>
          <w:jc w:val="center"/>
        </w:trPr>
        <w:tc>
          <w:tcPr>
            <w:tcW w:w="742" w:type="pct"/>
            <w:vMerge w:val="continue"/>
            <w:tcBorders>
              <w:left w:val="single" w:color="auto" w:sz="4" w:space="0"/>
              <w:bottom w:val="single" w:color="auto" w:sz="4" w:space="0"/>
              <w:right w:val="single" w:color="auto" w:sz="4" w:space="0"/>
            </w:tcBorders>
            <w:vAlign w:val="center"/>
          </w:tcPr>
          <w:p w14:paraId="7B4F9FAD">
            <w:pPr>
              <w:autoSpaceDE w:val="0"/>
              <w:autoSpaceDN w:val="0"/>
              <w:snapToGrid w:val="0"/>
              <w:ind w:firstLine="0" w:firstLineChars="0"/>
              <w:jc w:val="left"/>
              <w:rPr>
                <w:rFonts w:hint="eastAsia" w:ascii="宋体" w:hAnsi="宋体" w:eastAsia="宋体" w:cs="宋体"/>
                <w:szCs w:val="21"/>
                <w:lang w:val="zh-CN"/>
              </w:rPr>
            </w:pPr>
          </w:p>
        </w:tc>
        <w:tc>
          <w:tcPr>
            <w:tcW w:w="4257" w:type="pct"/>
            <w:tcBorders>
              <w:top w:val="nil"/>
              <w:left w:val="nil"/>
              <w:bottom w:val="single" w:color="auto" w:sz="4" w:space="0"/>
              <w:right w:val="single" w:color="auto" w:sz="4" w:space="0"/>
            </w:tcBorders>
            <w:vAlign w:val="center"/>
          </w:tcPr>
          <w:p w14:paraId="26CEFD1C">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支持开箱检测，基于芯片可信根实现固件启动前的完整性校验，支持基于Kerberos协议的用户认证管理机制，支持BMC系统锁定模式有助于在系统配置完成后防止意外更改，可以帮助保护系统免受无意或恶意的更改，</w:t>
            </w:r>
            <w:r>
              <w:rPr>
                <w:rFonts w:hint="eastAsia" w:ascii="宋体" w:hAnsi="宋体" w:eastAsia="宋体" w:cs="宋体"/>
                <w:szCs w:val="21"/>
                <w:lang w:val="en-US" w:eastAsia="zh-CN"/>
              </w:rPr>
              <w:t>投标时</w:t>
            </w:r>
            <w:r>
              <w:rPr>
                <w:rFonts w:hint="eastAsia" w:ascii="宋体" w:hAnsi="宋体" w:eastAsia="宋体" w:cs="宋体"/>
                <w:szCs w:val="21"/>
                <w:lang w:val="zh-CN"/>
              </w:rPr>
              <w:t>提供证明材料。</w:t>
            </w:r>
          </w:p>
        </w:tc>
      </w:tr>
      <w:tr w14:paraId="2A045AED">
        <w:tblPrEx>
          <w:tblCellMar>
            <w:top w:w="0" w:type="dxa"/>
            <w:left w:w="108" w:type="dxa"/>
            <w:bottom w:w="0" w:type="dxa"/>
            <w:right w:w="108" w:type="dxa"/>
          </w:tblCellMar>
        </w:tblPrEx>
        <w:trPr>
          <w:trHeight w:val="6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64337063">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★自主可控</w:t>
            </w:r>
          </w:p>
        </w:tc>
        <w:tc>
          <w:tcPr>
            <w:tcW w:w="4257" w:type="pct"/>
            <w:tcBorders>
              <w:top w:val="nil"/>
              <w:left w:val="nil"/>
              <w:bottom w:val="single" w:color="auto" w:sz="4" w:space="0"/>
              <w:right w:val="single" w:color="auto" w:sz="4" w:space="0"/>
            </w:tcBorders>
            <w:vAlign w:val="center"/>
          </w:tcPr>
          <w:p w14:paraId="3515F0C3">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服务器管理软件支持所有者在中华人民共和国境内工商局登记注册的芯片，</w:t>
            </w:r>
            <w:r>
              <w:rPr>
                <w:rFonts w:hint="eastAsia" w:ascii="宋体" w:hAnsi="宋体" w:eastAsia="宋体" w:cs="宋体"/>
                <w:szCs w:val="21"/>
                <w:lang w:val="en-US" w:eastAsia="zh-CN"/>
              </w:rPr>
              <w:t>投标时</w:t>
            </w:r>
            <w:r>
              <w:rPr>
                <w:rFonts w:hint="eastAsia" w:ascii="宋体" w:hAnsi="宋体" w:eastAsia="宋体" w:cs="宋体"/>
                <w:szCs w:val="21"/>
                <w:lang w:val="zh-CN"/>
              </w:rPr>
              <w:t>提供国产化证明材料。</w:t>
            </w:r>
          </w:p>
        </w:tc>
      </w:tr>
      <w:tr w14:paraId="27C5076C">
        <w:tblPrEx>
          <w:tblCellMar>
            <w:top w:w="0" w:type="dxa"/>
            <w:left w:w="108" w:type="dxa"/>
            <w:bottom w:w="0" w:type="dxa"/>
            <w:right w:w="108" w:type="dxa"/>
          </w:tblCellMar>
        </w:tblPrEx>
        <w:trPr>
          <w:trHeight w:val="60" w:hRule="atLeast"/>
          <w:jc w:val="center"/>
        </w:trPr>
        <w:tc>
          <w:tcPr>
            <w:tcW w:w="742" w:type="pct"/>
            <w:vMerge w:val="restart"/>
            <w:tcBorders>
              <w:top w:val="single" w:color="auto" w:sz="4" w:space="0"/>
              <w:left w:val="single" w:color="auto" w:sz="4" w:space="0"/>
              <w:right w:val="single" w:color="auto" w:sz="4" w:space="0"/>
            </w:tcBorders>
            <w:vAlign w:val="center"/>
          </w:tcPr>
          <w:p w14:paraId="2497EB03">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可管理性</w:t>
            </w:r>
          </w:p>
        </w:tc>
        <w:tc>
          <w:tcPr>
            <w:tcW w:w="4257" w:type="pct"/>
            <w:tcBorders>
              <w:top w:val="nil"/>
              <w:left w:val="nil"/>
              <w:bottom w:val="single" w:color="auto" w:sz="4" w:space="0"/>
              <w:right w:val="single" w:color="auto" w:sz="4" w:space="0"/>
            </w:tcBorders>
            <w:vAlign w:val="center"/>
          </w:tcPr>
          <w:p w14:paraId="5EA79B93">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配置独立的远程管理控制端口，支持远程监控图形界面, 可实现与操作系统无关的远程对服务器的完全控制，包括远程的开机、关机、重启、虚拟软驱、虚拟光驱等操作。</w:t>
            </w:r>
          </w:p>
        </w:tc>
      </w:tr>
      <w:tr w14:paraId="0BBD3BF6">
        <w:tblPrEx>
          <w:tblCellMar>
            <w:top w:w="0" w:type="dxa"/>
            <w:left w:w="108" w:type="dxa"/>
            <w:bottom w:w="0" w:type="dxa"/>
            <w:right w:w="108" w:type="dxa"/>
          </w:tblCellMar>
        </w:tblPrEx>
        <w:trPr>
          <w:trHeight w:val="60" w:hRule="atLeast"/>
          <w:jc w:val="center"/>
        </w:trPr>
        <w:tc>
          <w:tcPr>
            <w:tcW w:w="742" w:type="pct"/>
            <w:vMerge w:val="continue"/>
            <w:tcBorders>
              <w:left w:val="single" w:color="auto" w:sz="4" w:space="0"/>
              <w:bottom w:val="single" w:color="auto" w:sz="4" w:space="0"/>
              <w:right w:val="single" w:color="auto" w:sz="4" w:space="0"/>
            </w:tcBorders>
            <w:vAlign w:val="center"/>
          </w:tcPr>
          <w:p w14:paraId="5091E723">
            <w:pPr>
              <w:autoSpaceDE w:val="0"/>
              <w:autoSpaceDN w:val="0"/>
              <w:snapToGrid w:val="0"/>
              <w:ind w:firstLine="0" w:firstLineChars="0"/>
              <w:jc w:val="left"/>
              <w:rPr>
                <w:rFonts w:hint="eastAsia" w:ascii="宋体" w:hAnsi="宋体" w:eastAsia="宋体" w:cs="宋体"/>
                <w:szCs w:val="21"/>
                <w:lang w:val="zh-CN"/>
              </w:rPr>
            </w:pPr>
          </w:p>
        </w:tc>
        <w:tc>
          <w:tcPr>
            <w:tcW w:w="4257" w:type="pct"/>
            <w:tcBorders>
              <w:top w:val="nil"/>
              <w:left w:val="nil"/>
              <w:bottom w:val="single" w:color="auto" w:sz="4" w:space="0"/>
              <w:right w:val="single" w:color="auto" w:sz="4" w:space="0"/>
            </w:tcBorders>
            <w:vAlign w:val="center"/>
          </w:tcPr>
          <w:p w14:paraId="7315FB23">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color w:val="auto"/>
                <w:szCs w:val="21"/>
                <w:highlight w:val="none"/>
                <w:lang w:val="en-US" w:eastAsia="zh-CN"/>
              </w:rPr>
              <w:t>服</w:t>
            </w:r>
            <w:r>
              <w:rPr>
                <w:rFonts w:hint="eastAsia" w:ascii="宋体" w:hAnsi="宋体" w:eastAsia="宋体" w:cs="宋体"/>
                <w:color w:val="auto"/>
                <w:szCs w:val="21"/>
                <w:highlight w:val="none"/>
                <w:lang w:val="zh-CN"/>
              </w:rPr>
              <w:t>务器管</w:t>
            </w:r>
            <w:r>
              <w:rPr>
                <w:rFonts w:hint="eastAsia" w:ascii="宋体" w:hAnsi="宋体" w:eastAsia="宋体" w:cs="宋体"/>
                <w:szCs w:val="21"/>
                <w:lang w:val="zh-CN"/>
              </w:rPr>
              <w:t>理软件的固件支持双镜像备份，并支持一次升级主备两个分区。</w:t>
            </w:r>
          </w:p>
        </w:tc>
      </w:tr>
      <w:tr w14:paraId="63F5628F">
        <w:tblPrEx>
          <w:tblCellMar>
            <w:top w:w="0" w:type="dxa"/>
            <w:left w:w="108" w:type="dxa"/>
            <w:bottom w:w="0" w:type="dxa"/>
            <w:right w:w="108" w:type="dxa"/>
          </w:tblCellMar>
        </w:tblPrEx>
        <w:trPr>
          <w:trHeight w:val="6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7E764BD0">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近端运维</w:t>
            </w:r>
          </w:p>
        </w:tc>
        <w:tc>
          <w:tcPr>
            <w:tcW w:w="4257" w:type="pct"/>
            <w:tcBorders>
              <w:top w:val="single" w:color="auto" w:sz="4" w:space="0"/>
              <w:left w:val="nil"/>
              <w:bottom w:val="single" w:color="auto" w:sz="4" w:space="0"/>
              <w:right w:val="single" w:color="auto" w:sz="4" w:space="0"/>
            </w:tcBorders>
            <w:vAlign w:val="center"/>
          </w:tcPr>
          <w:p w14:paraId="42EDB099">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支持USB接口近端接入运维，采用Type-C数据线结合笔记本高效执行近端运维操作，不需使用网线、不需中断BMC当前网口连接。</w:t>
            </w:r>
          </w:p>
        </w:tc>
      </w:tr>
      <w:tr w14:paraId="65888366">
        <w:tblPrEx>
          <w:tblCellMar>
            <w:top w:w="0" w:type="dxa"/>
            <w:left w:w="108" w:type="dxa"/>
            <w:bottom w:w="0" w:type="dxa"/>
            <w:right w:w="108" w:type="dxa"/>
          </w:tblCellMar>
        </w:tblPrEx>
        <w:trPr>
          <w:trHeight w:val="6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627AA23B">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★集中管理软件</w:t>
            </w:r>
          </w:p>
        </w:tc>
        <w:tc>
          <w:tcPr>
            <w:tcW w:w="4257" w:type="pct"/>
            <w:tcBorders>
              <w:top w:val="single" w:color="auto" w:sz="4" w:space="0"/>
              <w:left w:val="nil"/>
              <w:bottom w:val="single" w:color="auto" w:sz="4" w:space="0"/>
              <w:right w:val="single" w:color="auto" w:sz="4" w:space="0"/>
            </w:tcBorders>
            <w:vAlign w:val="center"/>
          </w:tcPr>
          <w:p w14:paraId="7CC19E82">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支持同品牌自研的服务器集中管理软件控制，服务器集中管理软件支持对接钉钉、微信，将告警信息回传至钉钉或微信平台，</w:t>
            </w:r>
            <w:r>
              <w:rPr>
                <w:rFonts w:hint="eastAsia" w:ascii="宋体" w:hAnsi="宋体" w:eastAsia="宋体" w:cs="宋体"/>
                <w:szCs w:val="21"/>
                <w:lang w:val="en-US" w:eastAsia="zh-CN"/>
              </w:rPr>
              <w:t>投标时</w:t>
            </w:r>
            <w:r>
              <w:rPr>
                <w:rFonts w:hint="eastAsia" w:ascii="宋体" w:hAnsi="宋体" w:eastAsia="宋体" w:cs="宋体"/>
                <w:szCs w:val="21"/>
                <w:lang w:val="zh-CN"/>
              </w:rPr>
              <w:t>提供</w:t>
            </w:r>
            <w:r>
              <w:rPr>
                <w:rFonts w:hint="eastAsia" w:ascii="宋体" w:hAnsi="宋体" w:eastAsia="宋体" w:cs="宋体"/>
                <w:szCs w:val="21"/>
                <w:lang w:val="en-US" w:eastAsia="zh-CN"/>
              </w:rPr>
              <w:t>厂家</w:t>
            </w:r>
            <w:r>
              <w:rPr>
                <w:rFonts w:hint="eastAsia" w:ascii="宋体" w:hAnsi="宋体" w:eastAsia="宋体" w:cs="宋体"/>
                <w:szCs w:val="21"/>
                <w:lang w:val="zh-CN"/>
              </w:rPr>
              <w:t>官网证明及功能截图。</w:t>
            </w:r>
          </w:p>
        </w:tc>
      </w:tr>
      <w:tr w14:paraId="36BDC950">
        <w:tblPrEx>
          <w:tblCellMar>
            <w:top w:w="0" w:type="dxa"/>
            <w:left w:w="108" w:type="dxa"/>
            <w:bottom w:w="0" w:type="dxa"/>
            <w:right w:w="108" w:type="dxa"/>
          </w:tblCellMar>
        </w:tblPrEx>
        <w:trPr>
          <w:trHeight w:val="6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13DC3D40">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BIOS</w:t>
            </w:r>
          </w:p>
        </w:tc>
        <w:tc>
          <w:tcPr>
            <w:tcW w:w="4257" w:type="pct"/>
            <w:tcBorders>
              <w:top w:val="single" w:color="auto" w:sz="4" w:space="0"/>
              <w:left w:val="nil"/>
              <w:bottom w:val="single" w:color="auto" w:sz="4" w:space="0"/>
              <w:right w:val="single" w:color="auto" w:sz="4" w:space="0"/>
            </w:tcBorders>
            <w:vAlign w:val="center"/>
          </w:tcPr>
          <w:p w14:paraId="53566C84">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投标产品支持中文BIOS界面，支持支持图形化界面，支持鼠标操作。</w:t>
            </w:r>
          </w:p>
        </w:tc>
      </w:tr>
      <w:tr w14:paraId="24E03685">
        <w:tblPrEx>
          <w:tblCellMar>
            <w:top w:w="0" w:type="dxa"/>
            <w:left w:w="108" w:type="dxa"/>
            <w:bottom w:w="0" w:type="dxa"/>
            <w:right w:w="108" w:type="dxa"/>
          </w:tblCellMar>
        </w:tblPrEx>
        <w:trPr>
          <w:trHeight w:val="6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2D6A35CB">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★服务</w:t>
            </w:r>
          </w:p>
        </w:tc>
        <w:tc>
          <w:tcPr>
            <w:tcW w:w="4257" w:type="pct"/>
            <w:tcBorders>
              <w:top w:val="single" w:color="auto" w:sz="4" w:space="0"/>
              <w:left w:val="nil"/>
              <w:bottom w:val="single" w:color="auto" w:sz="4" w:space="0"/>
              <w:right w:val="single" w:color="auto" w:sz="4" w:space="0"/>
            </w:tcBorders>
            <w:vAlign w:val="center"/>
          </w:tcPr>
          <w:p w14:paraId="2BB60424">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提供3年原厂维保服务。</w:t>
            </w:r>
          </w:p>
        </w:tc>
      </w:tr>
      <w:tr w14:paraId="41429306">
        <w:tblPrEx>
          <w:tblCellMar>
            <w:top w:w="0" w:type="dxa"/>
            <w:left w:w="108" w:type="dxa"/>
            <w:bottom w:w="0" w:type="dxa"/>
            <w:right w:w="108" w:type="dxa"/>
          </w:tblCellMar>
        </w:tblPrEx>
        <w:trPr>
          <w:trHeight w:val="6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71A36F6A">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数量</w:t>
            </w:r>
          </w:p>
        </w:tc>
        <w:tc>
          <w:tcPr>
            <w:tcW w:w="4257" w:type="pct"/>
            <w:tcBorders>
              <w:top w:val="single" w:color="auto" w:sz="4" w:space="0"/>
              <w:left w:val="nil"/>
              <w:bottom w:val="single" w:color="auto" w:sz="4" w:space="0"/>
              <w:right w:val="single" w:color="auto" w:sz="4" w:space="0"/>
            </w:tcBorders>
            <w:vAlign w:val="center"/>
          </w:tcPr>
          <w:p w14:paraId="69B1C0B8">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3台</w:t>
            </w:r>
          </w:p>
        </w:tc>
      </w:tr>
      <w:tr w14:paraId="02DCD20F">
        <w:tblPrEx>
          <w:tblCellMar>
            <w:top w:w="0" w:type="dxa"/>
            <w:left w:w="108" w:type="dxa"/>
            <w:bottom w:w="0" w:type="dxa"/>
            <w:right w:w="108" w:type="dxa"/>
          </w:tblCellMar>
        </w:tblPrEx>
        <w:trPr>
          <w:trHeight w:val="6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14:paraId="7D85E406">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其它</w:t>
            </w:r>
          </w:p>
        </w:tc>
        <w:tc>
          <w:tcPr>
            <w:tcW w:w="4257" w:type="pct"/>
            <w:tcBorders>
              <w:top w:val="single" w:color="auto" w:sz="4" w:space="0"/>
              <w:left w:val="nil"/>
              <w:bottom w:val="single" w:color="auto" w:sz="4" w:space="0"/>
              <w:right w:val="single" w:color="auto" w:sz="4" w:space="0"/>
            </w:tcBorders>
            <w:vAlign w:val="center"/>
          </w:tcPr>
          <w:p w14:paraId="7D26C9B4">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1、为保障用户利益，对于</w:t>
            </w:r>
            <w:r>
              <w:rPr>
                <w:rFonts w:hint="eastAsia" w:ascii="宋体" w:hAnsi="宋体" w:cs="宋体"/>
                <w:szCs w:val="21"/>
                <w:lang w:val="en-US" w:eastAsia="zh-CN"/>
              </w:rPr>
              <w:t>中标单位</w:t>
            </w:r>
            <w:r>
              <w:rPr>
                <w:rFonts w:hint="eastAsia" w:ascii="宋体" w:hAnsi="宋体" w:eastAsia="宋体" w:cs="宋体"/>
                <w:szCs w:val="21"/>
                <w:lang w:val="zh-CN"/>
              </w:rPr>
              <w:t>提供虚假参数强行中标的行为，经测试查实后</w:t>
            </w:r>
            <w:r>
              <w:rPr>
                <w:rFonts w:hint="eastAsia" w:ascii="宋体" w:hAnsi="宋体" w:cs="宋体"/>
                <w:szCs w:val="21"/>
                <w:lang w:val="en-US" w:eastAsia="zh-CN"/>
              </w:rPr>
              <w:t>根据相关政府采购法规执行</w:t>
            </w:r>
            <w:r>
              <w:rPr>
                <w:rFonts w:hint="eastAsia" w:ascii="宋体" w:hAnsi="宋体" w:eastAsia="宋体" w:cs="宋体"/>
                <w:szCs w:val="21"/>
                <w:lang w:val="zh-CN"/>
              </w:rPr>
              <w:t>，并按相关要求赔偿采购方相关损失。</w:t>
            </w:r>
          </w:p>
          <w:p w14:paraId="1489BB22">
            <w:pPr>
              <w:autoSpaceDE w:val="0"/>
              <w:autoSpaceDN w:val="0"/>
              <w:snapToGrid w:val="0"/>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2、供货时，项目使用人为浙江康复医院，并能通过序列号查验，以免软件版权导致法律问题。</w:t>
            </w:r>
          </w:p>
        </w:tc>
      </w:tr>
    </w:tbl>
    <w:p w14:paraId="105F4266">
      <w:pPr>
        <w:adjustRightInd w:val="0"/>
        <w:rPr>
          <w:rFonts w:eastAsia="宋体"/>
          <w:szCs w:val="21"/>
        </w:rPr>
      </w:pPr>
      <w:r>
        <w:rPr>
          <w:rFonts w:hint="eastAsia" w:eastAsia="宋体"/>
          <w:szCs w:val="21"/>
          <w:lang w:val="en-US" w:eastAsia="zh-CN"/>
        </w:rPr>
        <w:t>6、</w:t>
      </w:r>
      <w:r>
        <w:rPr>
          <w:rFonts w:hint="eastAsia" w:eastAsia="宋体"/>
          <w:szCs w:val="21"/>
        </w:rPr>
        <w:t>容灾软件建设标准：</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6762"/>
      </w:tblGrid>
      <w:tr w14:paraId="4C58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0" w:type="dxa"/>
            <w:shd w:val="clear" w:color="auto" w:fill="D7D7D7" w:themeFill="background1" w:themeFillShade="D8"/>
          </w:tcPr>
          <w:p w14:paraId="23EC1496">
            <w:pPr>
              <w:ind w:firstLine="0" w:firstLineChars="0"/>
            </w:pPr>
            <w:r>
              <w:rPr>
                <w:rFonts w:hint="eastAsia"/>
              </w:rPr>
              <w:t>指标项</w:t>
            </w:r>
          </w:p>
        </w:tc>
        <w:tc>
          <w:tcPr>
            <w:tcW w:w="6762" w:type="dxa"/>
            <w:shd w:val="clear" w:color="auto" w:fill="D7D7D7" w:themeFill="background1" w:themeFillShade="D8"/>
          </w:tcPr>
          <w:p w14:paraId="71364D86">
            <w:pPr>
              <w:ind w:firstLine="0" w:firstLineChars="0"/>
            </w:pPr>
            <w:r>
              <w:rPr>
                <w:rFonts w:hint="eastAsia"/>
              </w:rPr>
              <w:t>技术要求</w:t>
            </w:r>
          </w:p>
        </w:tc>
      </w:tr>
      <w:tr w14:paraId="1EBB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restart"/>
            <w:vAlign w:val="center"/>
          </w:tcPr>
          <w:p w14:paraId="284D62F9">
            <w:pPr>
              <w:ind w:firstLine="0" w:firstLineChars="0"/>
            </w:pPr>
            <w:r>
              <w:rPr>
                <w:rFonts w:hint="eastAsia"/>
              </w:rPr>
              <w:t>平台要求</w:t>
            </w:r>
          </w:p>
        </w:tc>
        <w:tc>
          <w:tcPr>
            <w:tcW w:w="6762" w:type="dxa"/>
          </w:tcPr>
          <w:p w14:paraId="2CE65B56">
            <w:pPr>
              <w:ind w:firstLine="0" w:firstLineChars="0"/>
            </w:pPr>
            <w:r>
              <w:rPr>
                <w:rFonts w:hint="eastAsia" w:ascii="宋体" w:hAnsi="宋体" w:cs="宋体"/>
                <w:szCs w:val="21"/>
                <w:lang w:val="zh-CN"/>
              </w:rPr>
              <w:t>支持租户级别的资源隔离和区域划分，满足多租户数据隔离和节点、网络隔离的需求</w:t>
            </w:r>
          </w:p>
        </w:tc>
      </w:tr>
      <w:tr w14:paraId="153E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51C7598E">
            <w:pPr>
              <w:ind w:firstLine="0" w:firstLineChars="0"/>
            </w:pPr>
          </w:p>
        </w:tc>
        <w:tc>
          <w:tcPr>
            <w:tcW w:w="6762" w:type="dxa"/>
          </w:tcPr>
          <w:p w14:paraId="58C27B1D">
            <w:pPr>
              <w:ind w:firstLine="0" w:firstLineChars="0"/>
            </w:pPr>
            <w:r>
              <w:t>支持本地存储、共享存储、分布式存储、对象存储等多种存储类型，支持创建对应类型的存储介质，支持修改存储介质的介质授权容量，满足项目根据实际的运行情况进行调整的需求</w:t>
            </w:r>
          </w:p>
        </w:tc>
      </w:tr>
      <w:tr w14:paraId="514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690F3008">
            <w:pPr>
              <w:ind w:firstLine="0" w:firstLineChars="0"/>
            </w:pPr>
          </w:p>
        </w:tc>
        <w:tc>
          <w:tcPr>
            <w:tcW w:w="6762" w:type="dxa"/>
          </w:tcPr>
          <w:p w14:paraId="2A4B767B">
            <w:pPr>
              <w:ind w:firstLine="0" w:firstLineChars="0"/>
            </w:pPr>
            <w:r>
              <w:t>支持支持根据各个区域灾备节点的负载情况，自动匹配和选择负载较少的区域灾备节点，客户端、云平台等资源接入的负载均衡，方便充分利用现有的资源，提高备份的效率，</w:t>
            </w:r>
          </w:p>
        </w:tc>
      </w:tr>
      <w:tr w14:paraId="74D8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1BC4CD82">
            <w:pPr>
              <w:ind w:firstLine="0" w:firstLineChars="0"/>
            </w:pPr>
          </w:p>
        </w:tc>
        <w:tc>
          <w:tcPr>
            <w:tcW w:w="6762" w:type="dxa"/>
          </w:tcPr>
          <w:p w14:paraId="35A07004">
            <w:pPr>
              <w:ind w:firstLine="0" w:firstLineChars="0"/>
            </w:pPr>
            <w:r>
              <w:t>支持节点之间共享存储资源，防止单个节点故障导致的存储资源不可用</w:t>
            </w:r>
          </w:p>
        </w:tc>
      </w:tr>
      <w:tr w14:paraId="443D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76484F8E">
            <w:pPr>
              <w:ind w:firstLine="0" w:firstLineChars="0"/>
            </w:pPr>
          </w:p>
        </w:tc>
        <w:tc>
          <w:tcPr>
            <w:tcW w:w="6762" w:type="dxa"/>
          </w:tcPr>
          <w:p w14:paraId="76DAED72">
            <w:pPr>
              <w:ind w:firstLine="0" w:firstLineChars="0"/>
            </w:pPr>
            <w:r>
              <w:t>支持多种灾备场景、备份容灾场景、异构业务系统统一管理</w:t>
            </w:r>
          </w:p>
        </w:tc>
      </w:tr>
      <w:tr w14:paraId="69E5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05BFFCE3">
            <w:pPr>
              <w:ind w:firstLine="0" w:firstLineChars="0"/>
            </w:pPr>
          </w:p>
        </w:tc>
        <w:tc>
          <w:tcPr>
            <w:tcW w:w="6762" w:type="dxa"/>
          </w:tcPr>
          <w:p w14:paraId="75307916">
            <w:pPr>
              <w:ind w:firstLine="0" w:firstLineChars="0"/>
            </w:pPr>
            <w:r>
              <w:t>支持云上云下异构环境无论x86还是arm环境统一部署和统一管理</w:t>
            </w:r>
          </w:p>
        </w:tc>
      </w:tr>
      <w:tr w14:paraId="45CD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restart"/>
            <w:vAlign w:val="center"/>
          </w:tcPr>
          <w:p w14:paraId="557D3204">
            <w:pPr>
              <w:ind w:firstLine="0" w:firstLineChars="0"/>
            </w:pPr>
            <w:r>
              <w:rPr>
                <w:rFonts w:hint="eastAsia"/>
              </w:rPr>
              <w:t>部署要求</w:t>
            </w:r>
          </w:p>
        </w:tc>
        <w:tc>
          <w:tcPr>
            <w:tcW w:w="6762" w:type="dxa"/>
          </w:tcPr>
          <w:p w14:paraId="3DBBA8FF">
            <w:pPr>
              <w:ind w:firstLine="0" w:firstLineChars="0"/>
            </w:pPr>
            <w:r>
              <w:t>为在AIX、HP-UNIX、Solaris、Windows、RHEL、Centos、Ubuntu、中标麒麟等操作系统上运行的数据库提供容灾支持，以应对数据库系统的复杂性和兼容性挑战；</w:t>
            </w:r>
          </w:p>
        </w:tc>
      </w:tr>
      <w:tr w14:paraId="0212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737C5D38">
            <w:pPr>
              <w:ind w:firstLine="0" w:firstLineChars="0"/>
            </w:pPr>
          </w:p>
        </w:tc>
        <w:tc>
          <w:tcPr>
            <w:tcW w:w="6762" w:type="dxa"/>
          </w:tcPr>
          <w:p w14:paraId="02680BD6">
            <w:pPr>
              <w:ind w:firstLine="0" w:firstLineChars="0"/>
              <w:rPr>
                <w:rFonts w:hint="eastAsia" w:eastAsia="宋体"/>
                <w:lang w:eastAsia="zh-CN"/>
              </w:rPr>
            </w:pPr>
            <w:r>
              <w:rPr>
                <w:rFonts w:hint="eastAsia"/>
              </w:rPr>
              <w:t>★支持ORACLE、PG、SQLSERVER的数据库容灾搭建能力。</w:t>
            </w:r>
            <w:r>
              <w:rPr>
                <w:rFonts w:hint="eastAsia"/>
                <w:lang w:eastAsia="zh-CN"/>
              </w:rPr>
              <w:t>（</w:t>
            </w:r>
            <w:r>
              <w:rPr>
                <w:rFonts w:hint="eastAsia"/>
                <w:lang w:val="en-US" w:eastAsia="zh-CN"/>
              </w:rPr>
              <w:t>投标时提供产品功能截图</w:t>
            </w:r>
            <w:r>
              <w:rPr>
                <w:rFonts w:hint="eastAsia"/>
                <w:lang w:eastAsia="zh-CN"/>
              </w:rPr>
              <w:t>）</w:t>
            </w:r>
          </w:p>
        </w:tc>
      </w:tr>
      <w:tr w14:paraId="3A7F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270BE896">
            <w:pPr>
              <w:ind w:firstLine="0" w:firstLineChars="0"/>
            </w:pPr>
          </w:p>
        </w:tc>
        <w:tc>
          <w:tcPr>
            <w:tcW w:w="6762" w:type="dxa"/>
          </w:tcPr>
          <w:p w14:paraId="0DF0F0BE">
            <w:pPr>
              <w:ind w:firstLine="0" w:firstLineChars="0"/>
            </w:pPr>
            <w:r>
              <w:t>在安装容灾软件时，应保证不需对生产主机的文件系统进行改造，同时不需调整系统卷的配置；</w:t>
            </w:r>
          </w:p>
        </w:tc>
      </w:tr>
      <w:tr w14:paraId="3656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032DA72F">
            <w:pPr>
              <w:ind w:firstLine="0" w:firstLineChars="0"/>
            </w:pPr>
          </w:p>
        </w:tc>
        <w:tc>
          <w:tcPr>
            <w:tcW w:w="6762" w:type="dxa"/>
          </w:tcPr>
          <w:p w14:paraId="3F79DACB">
            <w:pPr>
              <w:ind w:firstLine="0" w:firstLineChars="0"/>
            </w:pPr>
            <w:r>
              <w:t>应实现容灾端数据库的初始化自动化，避免重新配置的需要；</w:t>
            </w:r>
          </w:p>
        </w:tc>
      </w:tr>
      <w:tr w14:paraId="2BE6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restart"/>
            <w:vAlign w:val="center"/>
          </w:tcPr>
          <w:p w14:paraId="0EF79590">
            <w:pPr>
              <w:ind w:firstLine="0" w:firstLineChars="0"/>
            </w:pPr>
            <w:r>
              <w:rPr>
                <w:rFonts w:hint="eastAsia"/>
              </w:rPr>
              <w:t>功能要求</w:t>
            </w:r>
          </w:p>
        </w:tc>
        <w:tc>
          <w:tcPr>
            <w:tcW w:w="6762" w:type="dxa"/>
          </w:tcPr>
          <w:p w14:paraId="191A1183">
            <w:pPr>
              <w:ind w:firstLine="0" w:firstLineChars="0"/>
            </w:pPr>
            <w:r>
              <w:t>支持在小型机、物理机、虚拟化及云计算等不同平台上的数据库同步；</w:t>
            </w:r>
          </w:p>
        </w:tc>
      </w:tr>
      <w:tr w14:paraId="485D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40AE6022">
            <w:pPr>
              <w:ind w:firstLine="0" w:firstLineChars="0"/>
            </w:pPr>
          </w:p>
        </w:tc>
        <w:tc>
          <w:tcPr>
            <w:tcW w:w="6762" w:type="dxa"/>
          </w:tcPr>
          <w:p w14:paraId="28883107">
            <w:pPr>
              <w:ind w:firstLine="0" w:firstLineChars="0"/>
            </w:pPr>
            <w:r>
              <w:t>数据同步功能涵盖多节点同步，包括主主、主备、一对多、级联等多种同步模式；</w:t>
            </w:r>
          </w:p>
        </w:tc>
      </w:tr>
      <w:tr w14:paraId="7A27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60E339CB">
            <w:pPr>
              <w:ind w:firstLine="0" w:firstLineChars="0"/>
            </w:pPr>
          </w:p>
        </w:tc>
        <w:tc>
          <w:tcPr>
            <w:tcW w:w="6762" w:type="dxa"/>
          </w:tcPr>
          <w:p w14:paraId="6D75BF88">
            <w:pPr>
              <w:ind w:firstLine="0" w:firstLineChars="0"/>
            </w:pPr>
            <w:r>
              <w:t>兼容Weblogic、Websphere、Tomcat等多种中间件的数据同步；</w:t>
            </w:r>
          </w:p>
        </w:tc>
      </w:tr>
      <w:tr w14:paraId="29D8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1E8C46DF">
            <w:pPr>
              <w:ind w:firstLine="0" w:firstLineChars="0"/>
            </w:pPr>
          </w:p>
        </w:tc>
        <w:tc>
          <w:tcPr>
            <w:tcW w:w="6762" w:type="dxa"/>
          </w:tcPr>
          <w:p w14:paraId="5CEF8D46">
            <w:pPr>
              <w:ind w:firstLine="0" w:firstLineChars="0"/>
            </w:pPr>
            <w:r>
              <w:rPr>
                <w:rFonts w:hint="eastAsia"/>
              </w:rPr>
              <w:t>★支持数据库物理日志级别，非原生方式（ORACLE DG），非逻辑日志解析（SQL）方式的日志同步。</w:t>
            </w:r>
            <w:r>
              <w:rPr>
                <w:rFonts w:hint="eastAsia"/>
                <w:lang w:eastAsia="zh-CN"/>
              </w:rPr>
              <w:t>（</w:t>
            </w:r>
            <w:r>
              <w:rPr>
                <w:rFonts w:hint="eastAsia"/>
                <w:lang w:val="en-US" w:eastAsia="zh-CN"/>
              </w:rPr>
              <w:t>投标时提供产品功能截图</w:t>
            </w:r>
            <w:r>
              <w:rPr>
                <w:rFonts w:hint="eastAsia"/>
                <w:lang w:eastAsia="zh-CN"/>
              </w:rPr>
              <w:t>）</w:t>
            </w:r>
          </w:p>
        </w:tc>
      </w:tr>
      <w:tr w14:paraId="16DB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5340E169">
            <w:pPr>
              <w:ind w:firstLine="0" w:firstLineChars="0"/>
            </w:pPr>
          </w:p>
        </w:tc>
        <w:tc>
          <w:tcPr>
            <w:tcW w:w="6762" w:type="dxa"/>
          </w:tcPr>
          <w:p w14:paraId="2ED8B03F">
            <w:pPr>
              <w:ind w:firstLine="0" w:firstLineChars="0"/>
            </w:pPr>
            <w:r>
              <w:t>必须拥有实时监控数据传输状态的能力，并且在链路故障修复后能自动进行断点续传</w:t>
            </w:r>
          </w:p>
        </w:tc>
      </w:tr>
      <w:tr w14:paraId="63C7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0ADEF6C0">
            <w:pPr>
              <w:ind w:firstLine="0" w:firstLineChars="0"/>
            </w:pPr>
          </w:p>
        </w:tc>
        <w:tc>
          <w:tcPr>
            <w:tcW w:w="6762" w:type="dxa"/>
          </w:tcPr>
          <w:p w14:paraId="7F3613E7">
            <w:pPr>
              <w:ind w:firstLine="0" w:firstLineChars="0"/>
              <w:rPr>
                <w:rFonts w:hint="eastAsia"/>
              </w:rPr>
            </w:pPr>
            <w:r>
              <w:t>通过拖拽资源图标并选择连线，即可自动编排并建立切换关系和流程；</w:t>
            </w:r>
          </w:p>
          <w:p w14:paraId="4A2CB18D">
            <w:pPr>
              <w:ind w:firstLine="0" w:firstLineChars="0"/>
              <w:rPr>
                <w:rFonts w:hint="eastAsia"/>
              </w:rPr>
            </w:pPr>
            <w:r>
              <w:t>具备一键健康状态检查功能，启动后会自动检查切换流程中每个环节的健康状态，并提供相关提示；</w:t>
            </w:r>
          </w:p>
        </w:tc>
      </w:tr>
      <w:tr w14:paraId="281B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6317E072">
            <w:pPr>
              <w:ind w:firstLine="0" w:firstLineChars="0"/>
            </w:pPr>
          </w:p>
        </w:tc>
        <w:tc>
          <w:tcPr>
            <w:tcW w:w="6762" w:type="dxa"/>
          </w:tcPr>
          <w:p w14:paraId="2236C9DF">
            <w:pPr>
              <w:ind w:firstLine="0" w:firstLineChars="0"/>
              <w:rPr>
                <w:rFonts w:hint="eastAsia"/>
              </w:rPr>
            </w:pPr>
            <w:r>
              <w:t>一键容灾切换功能适用于容灾切换和计划维护切换等多种场景，无需额外操作即可实现切换；</w:t>
            </w:r>
          </w:p>
        </w:tc>
      </w:tr>
      <w:tr w14:paraId="2F15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07F45A3F">
            <w:pPr>
              <w:ind w:firstLine="0" w:firstLineChars="0"/>
            </w:pPr>
          </w:p>
        </w:tc>
        <w:tc>
          <w:tcPr>
            <w:tcW w:w="6762" w:type="dxa"/>
          </w:tcPr>
          <w:p w14:paraId="3F6D1C13">
            <w:pPr>
              <w:ind w:firstLine="0" w:firstLineChars="0"/>
              <w:rPr>
                <w:rFonts w:hint="eastAsia"/>
              </w:rPr>
            </w:pPr>
            <w:r>
              <w:t>容灾站点需具备边同步边查询的能力，活动数据库应提供实时活动数据而非静态数据，以实时跟踪生产站点数据库，差异性间隔时间为0至5分钟；</w:t>
            </w:r>
          </w:p>
        </w:tc>
      </w:tr>
      <w:tr w14:paraId="7DCB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65AC8A19">
            <w:pPr>
              <w:ind w:firstLine="0" w:firstLineChars="0"/>
            </w:pPr>
          </w:p>
        </w:tc>
        <w:tc>
          <w:tcPr>
            <w:tcW w:w="6762" w:type="dxa"/>
          </w:tcPr>
          <w:p w14:paraId="1A091DE4">
            <w:pPr>
              <w:ind w:firstLine="0" w:firstLineChars="0"/>
            </w:pPr>
            <w:r>
              <w:t>容灾端数据库应支持在线作为逻辑备份、数据仓库等源数据，供应用程序或ETL工具使用。</w:t>
            </w:r>
          </w:p>
        </w:tc>
      </w:tr>
      <w:tr w14:paraId="000D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Merge w:val="continue"/>
            <w:vAlign w:val="center"/>
          </w:tcPr>
          <w:p w14:paraId="0FFE2A0E">
            <w:pPr>
              <w:ind w:firstLine="0" w:firstLineChars="0"/>
            </w:pPr>
          </w:p>
        </w:tc>
        <w:tc>
          <w:tcPr>
            <w:tcW w:w="6762" w:type="dxa"/>
          </w:tcPr>
          <w:p w14:paraId="6F041F69">
            <w:pPr>
              <w:ind w:firstLine="0" w:firstLineChars="0"/>
              <w:rPr>
                <w:rFonts w:hint="eastAsia"/>
              </w:rPr>
            </w:pPr>
            <w:r>
              <w:rPr>
                <w:rFonts w:hint="eastAsia"/>
              </w:rPr>
              <w:t>★支持将容灾库不同时间点副本数据挂载到目标机，用于查询、测试、数据恢复等场景</w:t>
            </w:r>
            <w:r>
              <w:rPr>
                <w:rFonts w:hint="eastAsia"/>
                <w:lang w:eastAsia="zh-CN"/>
              </w:rPr>
              <w:t>（</w:t>
            </w:r>
            <w:r>
              <w:rPr>
                <w:rFonts w:hint="eastAsia"/>
                <w:lang w:val="en-US" w:eastAsia="zh-CN"/>
              </w:rPr>
              <w:t>投标时提供产品功能截图</w:t>
            </w:r>
            <w:r>
              <w:rPr>
                <w:rFonts w:hint="eastAsia"/>
                <w:lang w:eastAsia="zh-CN"/>
              </w:rPr>
              <w:t>）</w:t>
            </w:r>
          </w:p>
        </w:tc>
      </w:tr>
      <w:tr w14:paraId="4DE3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14:paraId="255A3AAD">
            <w:pPr>
              <w:ind w:firstLine="0" w:firstLineChars="0"/>
            </w:pPr>
            <w:r>
              <w:rPr>
                <w:rFonts w:hint="eastAsia"/>
              </w:rPr>
              <w:t>授权数</w:t>
            </w:r>
          </w:p>
        </w:tc>
        <w:tc>
          <w:tcPr>
            <w:tcW w:w="6762" w:type="dxa"/>
          </w:tcPr>
          <w:p w14:paraId="26A34E11">
            <w:pPr>
              <w:ind w:firstLine="0" w:firstLineChars="0"/>
            </w:pPr>
            <w:r>
              <w:rPr>
                <w:rFonts w:hint="eastAsia"/>
              </w:rPr>
              <w:t>1套数据库容灾授权</w:t>
            </w:r>
          </w:p>
        </w:tc>
      </w:tr>
      <w:tr w14:paraId="701F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14:paraId="65AB725D">
            <w:pPr>
              <w:ind w:firstLine="0" w:firstLineChars="0"/>
            </w:pPr>
            <w:r>
              <w:rPr>
                <w:rFonts w:hint="eastAsia"/>
              </w:rPr>
              <w:t>服务期限</w:t>
            </w:r>
          </w:p>
        </w:tc>
        <w:tc>
          <w:tcPr>
            <w:tcW w:w="6762" w:type="dxa"/>
          </w:tcPr>
          <w:p w14:paraId="71F2367E">
            <w:pPr>
              <w:ind w:firstLine="0" w:firstLineChars="0"/>
            </w:pPr>
            <w:r>
              <w:rPr>
                <w:rFonts w:hint="eastAsia"/>
              </w:rPr>
              <w:t>三年</w:t>
            </w:r>
          </w:p>
        </w:tc>
      </w:tr>
      <w:tr w14:paraId="56C8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vAlign w:val="center"/>
          </w:tcPr>
          <w:p w14:paraId="422CAE74">
            <w:pPr>
              <w:ind w:firstLine="0" w:firstLineChars="0"/>
            </w:pPr>
            <w:r>
              <w:rPr>
                <w:rFonts w:hint="eastAsia"/>
              </w:rPr>
              <w:t>资质要求</w:t>
            </w:r>
          </w:p>
        </w:tc>
        <w:tc>
          <w:tcPr>
            <w:tcW w:w="6762" w:type="dxa"/>
          </w:tcPr>
          <w:p w14:paraId="25097A11">
            <w:pPr>
              <w:ind w:firstLine="0" w:firstLineChars="0"/>
            </w:pPr>
            <w:r>
              <w:rPr>
                <w:rFonts w:hint="eastAsia"/>
              </w:rPr>
              <w:t>要求提供软件著作权登记证书</w:t>
            </w:r>
          </w:p>
        </w:tc>
      </w:tr>
    </w:tbl>
    <w:p w14:paraId="34B5D049">
      <w:pPr>
        <w:ind w:firstLine="0" w:firstLineChars="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城东信息系统等级保护改建及测评标准：</w:t>
      </w:r>
    </w:p>
    <w:p w14:paraId="722D800A">
      <w:pPr>
        <w:adjustRightInd w:val="0"/>
        <w:ind w:firstLine="480" w:firstLineChars="200"/>
        <w:rPr>
          <w:rFonts w:hint="eastAsia" w:ascii="宋体" w:hAnsi="宋体" w:eastAsia="宋体" w:cs="宋体"/>
        </w:rPr>
      </w:pPr>
      <w:r>
        <w:rPr>
          <w:rFonts w:hint="eastAsia" w:ascii="宋体" w:hAnsi="宋体" w:eastAsia="宋体" w:cs="宋体"/>
        </w:rPr>
        <w:t>1、等保2.0测评标准：</w:t>
      </w:r>
    </w:p>
    <w:p w14:paraId="482E2C37">
      <w:pPr>
        <w:pStyle w:val="16"/>
        <w:ind w:firstLine="720" w:firstLineChars="300"/>
        <w:rPr>
          <w:rFonts w:hint="eastAsia" w:ascii="宋体" w:hAnsi="宋体" w:eastAsia="宋体" w:cs="宋体"/>
          <w:sz w:val="24"/>
          <w:szCs w:val="24"/>
        </w:rPr>
      </w:pPr>
      <w:r>
        <w:rPr>
          <w:rFonts w:hint="eastAsia" w:ascii="宋体" w:hAnsi="宋体" w:eastAsia="宋体" w:cs="宋体"/>
          <w:sz w:val="24"/>
          <w:szCs w:val="24"/>
        </w:rPr>
        <w:t>1.1 测评标准</w:t>
      </w:r>
    </w:p>
    <w:p w14:paraId="29A8EB0E">
      <w:pPr>
        <w:pStyle w:val="16"/>
        <w:ind w:firstLine="48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本次安全服务要求原厂技术人员每周不少于一天的驻场服务；在重保期间，要求全程提供原厂技术人员驻场服务，提供一年不少于4次的渗透测试服务，一年不少于4次的漏洞扫描服务，一年不少于4次的安全基线检查，一年内不少于1次的安全培训服务，承诺7*24小时持续专家服务。威胁发现及时响应，7*24小时应急响应服务 满足三个二级，一个三级的等保标准，详见需求清单。</w:t>
      </w:r>
    </w:p>
    <w:p w14:paraId="7BF7DD34">
      <w:pPr>
        <w:adjustRightInd w:val="0"/>
        <w:ind w:firstLine="480" w:firstLineChars="200"/>
        <w:rPr>
          <w:rFonts w:hint="eastAsia" w:ascii="宋体" w:hAnsi="宋体" w:eastAsia="宋体" w:cs="宋体"/>
        </w:rPr>
      </w:pPr>
    </w:p>
    <w:p w14:paraId="4DDFC642">
      <w:pPr>
        <w:adjustRightInd w:val="0"/>
        <w:ind w:firstLine="480" w:firstLineChars="200"/>
        <w:rPr>
          <w:rFonts w:hint="eastAsia" w:ascii="宋体" w:hAnsi="宋体" w:eastAsia="宋体" w:cs="宋体"/>
          <w:b/>
          <w:bCs/>
          <w:sz w:val="24"/>
          <w:szCs w:val="24"/>
        </w:rPr>
      </w:pPr>
      <w:r>
        <w:rPr>
          <w:rFonts w:hint="eastAsia" w:ascii="宋体" w:hAnsi="宋体" w:eastAsia="宋体" w:cs="宋体"/>
        </w:rPr>
        <w:t>2、等保2.0整改标准：</w:t>
      </w:r>
    </w:p>
    <w:p w14:paraId="0DC2F331">
      <w:pPr>
        <w:adjustRightInd w:val="0"/>
        <w:ind w:firstLine="720" w:firstLineChars="300"/>
        <w:rPr>
          <w:rFonts w:hint="eastAsia" w:ascii="宋体" w:hAnsi="宋体" w:eastAsia="宋体" w:cs="宋体"/>
        </w:rPr>
      </w:pPr>
      <w:r>
        <w:rPr>
          <w:rFonts w:hint="eastAsia" w:ascii="宋体" w:hAnsi="宋体" w:eastAsia="宋体" w:cs="宋体"/>
        </w:rPr>
        <w:t>2.1、UPS扩容改造建设标准：</w:t>
      </w:r>
    </w:p>
    <w:tbl>
      <w:tblPr>
        <w:tblStyle w:val="62"/>
        <w:tblW w:w="5000" w:type="pct"/>
        <w:tblInd w:w="0" w:type="dxa"/>
        <w:tblLayout w:type="autofit"/>
        <w:tblCellMar>
          <w:top w:w="0" w:type="dxa"/>
          <w:left w:w="108" w:type="dxa"/>
          <w:bottom w:w="0" w:type="dxa"/>
          <w:right w:w="108" w:type="dxa"/>
        </w:tblCellMar>
      </w:tblPr>
      <w:tblGrid>
        <w:gridCol w:w="1734"/>
        <w:gridCol w:w="6793"/>
      </w:tblGrid>
      <w:tr w14:paraId="191DE2C9">
        <w:tblPrEx>
          <w:tblCellMar>
            <w:top w:w="0" w:type="dxa"/>
            <w:left w:w="108" w:type="dxa"/>
            <w:bottom w:w="0" w:type="dxa"/>
            <w:right w:w="108" w:type="dxa"/>
          </w:tblCellMar>
        </w:tblPrEx>
        <w:trPr>
          <w:trHeight w:val="280" w:hRule="atLeast"/>
          <w:tblHeader/>
        </w:trPr>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B4E9F">
            <w:pPr>
              <w:spacing w:line="360" w:lineRule="auto"/>
              <w:ind w:firstLine="0" w:firstLineChars="0"/>
              <w:rPr>
                <w:rFonts w:hint="eastAsia" w:ascii="宋体" w:hAnsi="宋体"/>
                <w:b/>
                <w:bCs/>
                <w:szCs w:val="21"/>
              </w:rPr>
            </w:pPr>
            <w:r>
              <w:rPr>
                <w:rFonts w:hint="eastAsia" w:ascii="宋体" w:hAnsi="宋体"/>
                <w:b/>
                <w:bCs/>
                <w:szCs w:val="21"/>
              </w:rPr>
              <w:t>产品名称</w:t>
            </w:r>
          </w:p>
        </w:tc>
        <w:tc>
          <w:tcPr>
            <w:tcW w:w="3983" w:type="pct"/>
            <w:tcBorders>
              <w:top w:val="single" w:color="auto" w:sz="4" w:space="0"/>
              <w:left w:val="nil"/>
              <w:bottom w:val="single" w:color="auto" w:sz="4" w:space="0"/>
              <w:right w:val="single" w:color="auto" w:sz="4" w:space="0"/>
            </w:tcBorders>
            <w:shd w:val="clear" w:color="auto" w:fill="auto"/>
            <w:noWrap/>
            <w:vAlign w:val="center"/>
          </w:tcPr>
          <w:p w14:paraId="65ED80F7">
            <w:pPr>
              <w:spacing w:line="360" w:lineRule="auto"/>
              <w:ind w:firstLine="0" w:firstLineChars="0"/>
              <w:rPr>
                <w:rFonts w:hint="eastAsia" w:ascii="宋体" w:hAnsi="宋体"/>
                <w:b/>
                <w:bCs/>
                <w:szCs w:val="21"/>
              </w:rPr>
            </w:pPr>
            <w:r>
              <w:rPr>
                <w:rFonts w:hint="eastAsia" w:ascii="宋体" w:hAnsi="宋体"/>
                <w:b/>
                <w:bCs/>
                <w:szCs w:val="21"/>
              </w:rPr>
              <w:t>技术要求</w:t>
            </w:r>
          </w:p>
        </w:tc>
      </w:tr>
      <w:tr w14:paraId="28F416CB">
        <w:tblPrEx>
          <w:tblCellMar>
            <w:top w:w="0" w:type="dxa"/>
            <w:left w:w="108" w:type="dxa"/>
            <w:bottom w:w="0" w:type="dxa"/>
            <w:right w:w="108" w:type="dxa"/>
          </w:tblCellMar>
        </w:tblPrEx>
        <w:trPr>
          <w:trHeight w:val="90" w:hRule="atLeast"/>
        </w:trPr>
        <w:tc>
          <w:tcPr>
            <w:tcW w:w="1017" w:type="pct"/>
            <w:tcBorders>
              <w:top w:val="nil"/>
              <w:left w:val="single" w:color="auto" w:sz="4" w:space="0"/>
              <w:bottom w:val="single" w:color="auto" w:sz="4" w:space="0"/>
              <w:right w:val="single" w:color="auto" w:sz="4" w:space="0"/>
            </w:tcBorders>
            <w:shd w:val="clear" w:color="auto" w:fill="auto"/>
            <w:noWrap/>
            <w:vAlign w:val="center"/>
          </w:tcPr>
          <w:p w14:paraId="214A7857">
            <w:pPr>
              <w:spacing w:line="360" w:lineRule="auto"/>
              <w:ind w:firstLine="0" w:firstLineChars="0"/>
              <w:rPr>
                <w:rFonts w:hint="eastAsia" w:ascii="宋体" w:hAnsi="宋体"/>
                <w:szCs w:val="21"/>
              </w:rPr>
            </w:pPr>
            <w:r>
              <w:rPr>
                <w:rFonts w:hint="eastAsia" w:ascii="宋体" w:hAnsi="宋体"/>
                <w:szCs w:val="21"/>
              </w:rPr>
              <w:t>UPS主机</w:t>
            </w:r>
          </w:p>
        </w:tc>
        <w:tc>
          <w:tcPr>
            <w:tcW w:w="3983" w:type="pct"/>
            <w:tcBorders>
              <w:top w:val="nil"/>
              <w:left w:val="nil"/>
              <w:bottom w:val="single" w:color="auto" w:sz="4" w:space="0"/>
              <w:right w:val="single" w:color="auto" w:sz="4" w:space="0"/>
            </w:tcBorders>
            <w:shd w:val="clear" w:color="auto" w:fill="auto"/>
            <w:vAlign w:val="center"/>
          </w:tcPr>
          <w:p w14:paraId="38DC69F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UPS运行环境要求：</w:t>
            </w:r>
          </w:p>
          <w:p w14:paraId="58895FA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工作环境：0~+50℃，0~40不降额，</w:t>
            </w:r>
          </w:p>
          <w:p w14:paraId="6E562DC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工作湿度：≤95%（25℃,无凝露）</w:t>
            </w:r>
          </w:p>
          <w:p w14:paraId="7A22944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海拔高度：0~1000米无降额</w:t>
            </w:r>
          </w:p>
          <w:p w14:paraId="0132276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噪音指标：≤65dB @1米距离</w:t>
            </w:r>
          </w:p>
          <w:p w14:paraId="4E419A1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UPS设备须为在线双变换高频塔式机，全数字化DSP控制技术，单机容量≥20kVA。</w:t>
            </w:r>
          </w:p>
          <w:p w14:paraId="22B3D3C6">
            <w:pPr>
              <w:autoSpaceDE w:val="0"/>
              <w:autoSpaceDN w:val="0"/>
              <w:snapToGrid w:val="0"/>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zh-CN"/>
              </w:rPr>
              <w:t>★UPS的输出功率因数为1.0，UPS输出电压稳定精度≤±0.2%，</w:t>
            </w:r>
            <w:r>
              <w:rPr>
                <w:rFonts w:hint="eastAsia" w:ascii="宋体" w:hAnsi="宋体" w:eastAsia="宋体" w:cs="宋体"/>
                <w:szCs w:val="21"/>
                <w:lang w:val="en-US" w:eastAsia="zh-CN"/>
              </w:rPr>
              <w:t>投标时提供相关佐证材料</w:t>
            </w:r>
            <w:r>
              <w:rPr>
                <w:rFonts w:hint="eastAsia" w:ascii="宋体" w:hAnsi="宋体" w:eastAsia="宋体" w:cs="宋体"/>
                <w:szCs w:val="21"/>
                <w:lang w:val="zh-CN"/>
              </w:rPr>
              <w:t>。</w:t>
            </w:r>
          </w:p>
          <w:p w14:paraId="23BD65E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4、</w:t>
            </w:r>
            <w:r>
              <w:rPr>
                <w:rFonts w:hint="eastAsia" w:ascii="宋体" w:hAnsi="宋体" w:eastAsia="宋体" w:cs="宋体"/>
                <w:szCs w:val="21"/>
                <w:lang w:val="zh-CN"/>
              </w:rPr>
              <w:t>★UPS输出波形失真：100%线性负载&lt; 1%，非线性负载&lt; 2%，</w:t>
            </w:r>
            <w:r>
              <w:rPr>
                <w:rFonts w:hint="eastAsia" w:ascii="宋体" w:hAnsi="宋体" w:eastAsia="宋体" w:cs="宋体"/>
                <w:szCs w:val="21"/>
                <w:lang w:val="en-US" w:eastAsia="zh-CN"/>
              </w:rPr>
              <w:t>投标时提供相关佐证材料</w:t>
            </w:r>
            <w:r>
              <w:rPr>
                <w:rFonts w:hint="eastAsia" w:ascii="宋体" w:hAnsi="宋体" w:eastAsia="宋体" w:cs="宋体"/>
                <w:szCs w:val="21"/>
                <w:lang w:val="zh-CN"/>
              </w:rPr>
              <w:t>。</w:t>
            </w:r>
          </w:p>
          <w:p w14:paraId="3B31C2C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UPS输出三相电压不平衡度：≤0.5%</w:t>
            </w:r>
          </w:p>
          <w:p w14:paraId="5A159BB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val="zh-CN"/>
              </w:rPr>
              <w:t>UPS输出电压相位偏差：≤0.2°（正常和电池逆变模式），</w:t>
            </w:r>
            <w:r>
              <w:rPr>
                <w:rFonts w:hint="eastAsia" w:ascii="宋体" w:hAnsi="宋体" w:eastAsia="宋体" w:cs="宋体"/>
                <w:szCs w:val="21"/>
                <w:lang w:val="en-US" w:eastAsia="zh-CN"/>
              </w:rPr>
              <w:t>投标时提供相关佐证材料</w:t>
            </w:r>
            <w:r>
              <w:rPr>
                <w:rFonts w:hint="eastAsia" w:ascii="宋体" w:hAnsi="宋体" w:eastAsia="宋体" w:cs="宋体"/>
                <w:szCs w:val="21"/>
                <w:lang w:val="zh-CN"/>
              </w:rPr>
              <w:t>。</w:t>
            </w:r>
          </w:p>
          <w:p w14:paraId="7173B33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7、</w:t>
            </w:r>
            <w:r>
              <w:rPr>
                <w:rFonts w:hint="eastAsia" w:ascii="宋体" w:hAnsi="宋体" w:eastAsia="宋体" w:cs="宋体"/>
                <w:szCs w:val="21"/>
                <w:lang w:val="zh-CN"/>
              </w:rPr>
              <w:t>UPS逆变双转换效率：100%负载≥95%；50%负载≥96%</w:t>
            </w:r>
          </w:p>
          <w:p w14:paraId="24CE6B05">
            <w:pPr>
              <w:autoSpaceDE w:val="0"/>
              <w:autoSpaceDN w:val="0"/>
              <w:snapToGrid w:val="0"/>
              <w:spacing w:line="360" w:lineRule="auto"/>
              <w:ind w:firstLine="0" w:firstLineChars="0"/>
              <w:jc w:val="left"/>
              <w:rPr>
                <w:rFonts w:hint="eastAsia" w:ascii="宋体" w:hAnsi="宋体" w:eastAsia="宋体" w:cs="宋体"/>
                <w:szCs w:val="21"/>
                <w:highlight w:val="none"/>
                <w:lang w:val="zh-CN"/>
              </w:rPr>
            </w:pPr>
            <w:r>
              <w:rPr>
                <w:rFonts w:hint="eastAsia" w:ascii="宋体" w:hAnsi="宋体" w:eastAsia="宋体" w:cs="宋体"/>
                <w:szCs w:val="21"/>
                <w:highlight w:val="none"/>
              </w:rPr>
              <w:t>8、</w:t>
            </w:r>
            <w:r>
              <w:rPr>
                <w:rFonts w:hint="eastAsia" w:ascii="宋体" w:hAnsi="宋体" w:eastAsia="宋体" w:cs="宋体"/>
                <w:szCs w:val="21"/>
                <w:highlight w:val="none"/>
                <w:lang w:val="zh-CN"/>
              </w:rPr>
              <w:t>★设备安装现场空间有限，设备建议尺寸(WxDxH)不大于：330×668×521mm(20~40K)</w:t>
            </w:r>
            <w:r>
              <w:rPr>
                <w:rFonts w:hint="eastAsia" w:ascii="宋体" w:hAnsi="宋体" w:cs="宋体"/>
                <w:szCs w:val="21"/>
                <w:highlight w:val="none"/>
                <w:lang w:val="zh-CN"/>
              </w:rPr>
              <w:t>。</w:t>
            </w:r>
          </w:p>
          <w:p w14:paraId="07AD158B">
            <w:pPr>
              <w:autoSpaceDE w:val="0"/>
              <w:autoSpaceDN w:val="0"/>
              <w:snapToGrid w:val="0"/>
              <w:spacing w:line="360" w:lineRule="auto"/>
              <w:ind w:firstLine="0" w:firstLineChars="0"/>
              <w:jc w:val="left"/>
              <w:rPr>
                <w:rFonts w:hint="eastAsia" w:ascii="宋体" w:hAnsi="宋体" w:eastAsia="宋体" w:cs="宋体"/>
                <w:szCs w:val="21"/>
                <w:highlight w:val="none"/>
                <w:lang w:val="zh-CN"/>
              </w:rPr>
            </w:pPr>
            <w:r>
              <w:rPr>
                <w:rFonts w:hint="eastAsia" w:ascii="宋体" w:hAnsi="宋体" w:eastAsia="宋体" w:cs="宋体"/>
                <w:szCs w:val="21"/>
                <w:highlight w:val="none"/>
              </w:rPr>
              <w:t>9、</w:t>
            </w:r>
            <w:r>
              <w:rPr>
                <w:rFonts w:hint="eastAsia" w:ascii="宋体" w:hAnsi="宋体" w:eastAsia="宋体" w:cs="宋体"/>
                <w:szCs w:val="21"/>
                <w:highlight w:val="none"/>
                <w:lang w:val="zh-CN"/>
              </w:rPr>
              <w:t>净重不大于：41kg（20kVA）</w:t>
            </w:r>
            <w:r>
              <w:rPr>
                <w:rFonts w:hint="eastAsia" w:ascii="宋体" w:hAnsi="宋体" w:cs="宋体"/>
                <w:szCs w:val="21"/>
                <w:highlight w:val="none"/>
                <w:lang w:val="zh-CN"/>
              </w:rPr>
              <w:t>。</w:t>
            </w:r>
          </w:p>
          <w:p w14:paraId="6F6CC78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10、</w:t>
            </w:r>
            <w:r>
              <w:rPr>
                <w:rFonts w:hint="eastAsia" w:ascii="宋体" w:hAnsi="宋体" w:eastAsia="宋体" w:cs="宋体"/>
                <w:szCs w:val="21"/>
                <w:lang w:val="zh-CN"/>
              </w:rPr>
              <w:t>★要求采用全彩色≥5英寸LCD触摸屏+LED指示灯双显示操作面板，中文操作界面，同时提供图形显示和数字显示，适合使用者查看状态、数据和进行操作控制。</w:t>
            </w:r>
            <w:r>
              <w:rPr>
                <w:rFonts w:hint="eastAsia" w:ascii="宋体" w:hAnsi="宋体" w:eastAsia="宋体" w:cs="宋体"/>
                <w:szCs w:val="21"/>
                <w:lang w:val="en-US" w:eastAsia="zh-CN"/>
              </w:rPr>
              <w:t>投标时提供相关佐证材料</w:t>
            </w:r>
            <w:r>
              <w:rPr>
                <w:rFonts w:hint="eastAsia" w:ascii="宋体" w:hAnsi="宋体" w:eastAsia="宋体" w:cs="宋体"/>
                <w:szCs w:val="21"/>
                <w:lang w:val="zh-CN"/>
              </w:rPr>
              <w:t>。</w:t>
            </w:r>
          </w:p>
          <w:p w14:paraId="1DC576E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11、</w:t>
            </w:r>
            <w:r>
              <w:rPr>
                <w:rFonts w:hint="eastAsia" w:ascii="宋体" w:hAnsi="宋体" w:eastAsia="宋体" w:cs="宋体"/>
                <w:szCs w:val="21"/>
                <w:lang w:val="zh-CN"/>
              </w:rPr>
              <w:t>★UPS设备采用类模块化设计结构，模块在线维护时间小于30分钟。要求</w:t>
            </w:r>
            <w:r>
              <w:rPr>
                <w:rFonts w:hint="eastAsia" w:ascii="宋体" w:hAnsi="宋体" w:eastAsia="宋体" w:cs="宋体"/>
                <w:szCs w:val="21"/>
                <w:lang w:val="en-US" w:eastAsia="zh-CN"/>
              </w:rPr>
              <w:t>投标时</w:t>
            </w:r>
            <w:r>
              <w:rPr>
                <w:rFonts w:hint="eastAsia" w:ascii="宋体" w:hAnsi="宋体" w:eastAsia="宋体" w:cs="宋体"/>
                <w:szCs w:val="21"/>
                <w:lang w:val="zh-CN"/>
              </w:rPr>
              <w:t>提供实物结构图片说明及</w:t>
            </w:r>
            <w:r>
              <w:rPr>
                <w:rFonts w:hint="eastAsia" w:ascii="宋体" w:hAnsi="宋体" w:eastAsia="宋体" w:cs="宋体"/>
                <w:szCs w:val="21"/>
                <w:lang w:val="en-US" w:eastAsia="zh-CN"/>
              </w:rPr>
              <w:t>相关佐证材料</w:t>
            </w:r>
            <w:r>
              <w:rPr>
                <w:rFonts w:hint="eastAsia" w:ascii="宋体" w:hAnsi="宋体" w:eastAsia="宋体" w:cs="宋体"/>
                <w:szCs w:val="21"/>
                <w:lang w:val="zh-CN"/>
              </w:rPr>
              <w:t>。。</w:t>
            </w:r>
          </w:p>
          <w:p w14:paraId="24D3EA8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12、</w:t>
            </w:r>
            <w:r>
              <w:rPr>
                <w:rFonts w:hint="eastAsia" w:ascii="宋体" w:hAnsi="宋体" w:eastAsia="宋体" w:cs="宋体"/>
                <w:szCs w:val="21"/>
                <w:lang w:val="zh-CN"/>
              </w:rPr>
              <w:t>★全电路板三防喷涂（控制板、接口板、电源板、功率板），要有PCBA喷涂三防漆工艺，提升UPS设备的防潮、防尘、防漏电、防腐蚀、防锈、防盐雾、防震、防老化、绝缘、耐电晕等性能。</w:t>
            </w:r>
            <w:r>
              <w:rPr>
                <w:rFonts w:hint="eastAsia" w:ascii="宋体" w:hAnsi="宋体" w:eastAsia="宋体" w:cs="宋体"/>
                <w:szCs w:val="21"/>
                <w:lang w:val="en-US" w:eastAsia="zh-CN"/>
              </w:rPr>
              <w:t>投标时提供</w:t>
            </w:r>
            <w:r>
              <w:rPr>
                <w:rFonts w:hint="eastAsia" w:ascii="宋体" w:hAnsi="宋体" w:eastAsia="宋体" w:cs="宋体"/>
                <w:szCs w:val="21"/>
                <w:lang w:val="zh-CN"/>
              </w:rPr>
              <w:t>照片及证明文件。</w:t>
            </w:r>
          </w:p>
          <w:p w14:paraId="2D993BF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13、</w:t>
            </w:r>
            <w:r>
              <w:rPr>
                <w:rFonts w:hint="eastAsia" w:ascii="宋体" w:hAnsi="宋体" w:eastAsia="宋体" w:cs="宋体"/>
                <w:szCs w:val="21"/>
                <w:lang w:val="zh-CN"/>
              </w:rPr>
              <w:t>UPS标配输入开关、输出开关、旁路输入开关和维护旁路开关方便操作。</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提供产品结构图片说明。</w:t>
            </w:r>
          </w:p>
          <w:p w14:paraId="13E3C5E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14、</w:t>
            </w:r>
            <w:r>
              <w:rPr>
                <w:rFonts w:hint="eastAsia" w:ascii="宋体" w:hAnsi="宋体" w:eastAsia="宋体" w:cs="宋体"/>
                <w:szCs w:val="21"/>
                <w:lang w:val="zh-CN"/>
              </w:rPr>
              <w:t>UPS标配防火级防尘网，且具备拆卸和清洗功能设计，防尘网符合防火标准UL94及滤尘网标准UL 900。</w:t>
            </w:r>
          </w:p>
          <w:p w14:paraId="31A9A86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15、</w:t>
            </w:r>
            <w:r>
              <w:rPr>
                <w:rFonts w:hint="eastAsia" w:ascii="宋体" w:hAnsi="宋体" w:eastAsia="宋体" w:cs="宋体"/>
                <w:szCs w:val="21"/>
                <w:lang w:val="zh-CN"/>
              </w:rPr>
              <w:t>★标配N+X并联冗余功能，可 支持不低于4台并机运行。并机系统具备根据负载容量大小自动冗余的性能。并机系统中需支持最少4台并机共用电池组配置。</w:t>
            </w:r>
            <w:r>
              <w:rPr>
                <w:rFonts w:hint="eastAsia" w:ascii="宋体" w:hAnsi="宋体" w:eastAsia="宋体" w:cs="宋体"/>
                <w:szCs w:val="21"/>
                <w:lang w:val="en-US" w:eastAsia="zh-CN"/>
              </w:rPr>
              <w:t>投标时提供相关佐证材料</w:t>
            </w:r>
            <w:r>
              <w:rPr>
                <w:rFonts w:hint="eastAsia" w:ascii="宋体" w:hAnsi="宋体" w:eastAsia="宋体" w:cs="宋体"/>
                <w:szCs w:val="21"/>
                <w:lang w:val="zh-CN"/>
              </w:rPr>
              <w:t>。</w:t>
            </w:r>
          </w:p>
          <w:p w14:paraId="7ED4C10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16、</w:t>
            </w:r>
            <w:r>
              <w:rPr>
                <w:rFonts w:hint="eastAsia" w:ascii="宋体" w:hAnsi="宋体" w:eastAsia="宋体" w:cs="宋体"/>
                <w:szCs w:val="21"/>
                <w:lang w:val="zh-CN"/>
              </w:rPr>
              <w:t>★需采用可靠的并机技术，在并机线通讯异常时需要具有系统保护措施（无单点故障），保障并机系统能正常运行。</w:t>
            </w:r>
            <w:r>
              <w:rPr>
                <w:rFonts w:hint="eastAsia" w:ascii="宋体" w:hAnsi="宋体" w:eastAsia="宋体" w:cs="宋体"/>
                <w:szCs w:val="21"/>
                <w:lang w:val="en-US" w:eastAsia="zh-CN"/>
              </w:rPr>
              <w:t>投标时</w:t>
            </w:r>
            <w:r>
              <w:rPr>
                <w:rFonts w:hint="eastAsia" w:ascii="宋体" w:hAnsi="宋体" w:eastAsia="宋体" w:cs="宋体"/>
                <w:szCs w:val="21"/>
                <w:lang w:val="zh-CN"/>
              </w:rPr>
              <w:t>提供并机线通讯异常时的解决方案。</w:t>
            </w:r>
          </w:p>
          <w:p w14:paraId="15A2A8B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17、</w:t>
            </w:r>
            <w:r>
              <w:rPr>
                <w:rFonts w:hint="eastAsia" w:ascii="宋体" w:hAnsi="宋体" w:eastAsia="宋体" w:cs="宋体"/>
                <w:szCs w:val="21"/>
                <w:lang w:val="zh-CN"/>
              </w:rPr>
              <w:t>★UPS具备直流电压调节功能：可对UPS电池直流电压在不低于320~605Vdc范围内可调，蓄电池单组串联数量可调范围不低于32～44节。便于未来遭遇电池故障需要维护、更换时，可灵活调节电池组数的需要。</w:t>
            </w:r>
            <w:r>
              <w:rPr>
                <w:rFonts w:hint="eastAsia" w:ascii="宋体" w:hAnsi="宋体" w:eastAsia="宋体" w:cs="宋体"/>
                <w:szCs w:val="21"/>
                <w:lang w:val="en-US" w:eastAsia="zh-CN"/>
              </w:rPr>
              <w:t>投标时提供相关佐证材料</w:t>
            </w:r>
            <w:r>
              <w:rPr>
                <w:rFonts w:hint="eastAsia" w:ascii="宋体" w:hAnsi="宋体" w:eastAsia="宋体" w:cs="宋体"/>
                <w:szCs w:val="21"/>
                <w:lang w:val="zh-CN"/>
              </w:rPr>
              <w:t>。</w:t>
            </w:r>
          </w:p>
          <w:p w14:paraId="34F6408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18、</w:t>
            </w:r>
            <w:r>
              <w:rPr>
                <w:rFonts w:hint="eastAsia" w:ascii="宋体" w:hAnsi="宋体" w:eastAsia="宋体" w:cs="宋体"/>
                <w:szCs w:val="21"/>
                <w:lang w:val="zh-CN"/>
              </w:rPr>
              <w:t>UPS主机对蓄电池组充电电流不低于20kVA: 25A，可根据现场电池容量设置匹配充电电流。</w:t>
            </w:r>
          </w:p>
          <w:p w14:paraId="06A3381E">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19、</w:t>
            </w:r>
            <w:r>
              <w:rPr>
                <w:rFonts w:hint="eastAsia" w:ascii="宋体" w:hAnsi="宋体" w:eastAsia="宋体" w:cs="宋体"/>
                <w:szCs w:val="21"/>
                <w:lang w:val="zh-CN"/>
              </w:rPr>
              <w:t>UPS应具有定期对蓄电池组进行自动浮充、均充和休眠三段式循环充电相互转换。具备充电休息模式的智能充电功能，以实现延长电池寿命的特性。不允许蓄电池组长期处于浮充状态。</w:t>
            </w:r>
          </w:p>
          <w:p w14:paraId="4147A91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20、</w:t>
            </w:r>
            <w:r>
              <w:rPr>
                <w:rFonts w:hint="eastAsia" w:ascii="宋体" w:hAnsi="宋体" w:eastAsia="宋体" w:cs="宋体"/>
                <w:szCs w:val="21"/>
                <w:lang w:val="zh-CN"/>
              </w:rPr>
              <w:t>UPS必须</w:t>
            </w:r>
            <w:bookmarkStart w:id="51" w:name="_Hlk92793248"/>
            <w:r>
              <w:rPr>
                <w:rFonts w:hint="eastAsia" w:ascii="宋体" w:hAnsi="宋体" w:eastAsia="宋体" w:cs="宋体"/>
                <w:szCs w:val="21"/>
                <w:lang w:val="zh-CN"/>
              </w:rPr>
              <w:t>兼容常见蓄电池类型，包括但不仅限于：VRLA铅酸蓄电池、AGM、胶体电池、锂电池、镍镉电池。</w:t>
            </w:r>
            <w:bookmarkEnd w:id="51"/>
          </w:p>
          <w:p w14:paraId="689DDB6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rPr>
              <w:t>21、</w:t>
            </w:r>
            <w:r>
              <w:rPr>
                <w:rFonts w:hint="eastAsia" w:ascii="宋体" w:hAnsi="宋体" w:eastAsia="宋体" w:cs="宋体"/>
                <w:szCs w:val="21"/>
                <w:lang w:val="zh-CN"/>
              </w:rPr>
              <w:t>★ UPS</w:t>
            </w:r>
            <w:bookmarkStart w:id="52" w:name="_Hlk92792252"/>
            <w:r>
              <w:rPr>
                <w:rFonts w:hint="eastAsia" w:ascii="宋体" w:hAnsi="宋体" w:eastAsia="宋体" w:cs="宋体"/>
                <w:szCs w:val="21"/>
                <w:lang w:val="zh-CN"/>
              </w:rPr>
              <w:t>操作显示屏具备主机运行状态红、黄、绿三色指示灯、UPS装置工作状态图、电池状态检测、负载状态检测功能；不低于1000条日志信息记录，方便对UPS和电池组进行维护。</w:t>
            </w:r>
            <w:bookmarkEnd w:id="52"/>
            <w:r>
              <w:rPr>
                <w:rFonts w:hint="eastAsia" w:ascii="宋体" w:hAnsi="宋体" w:eastAsia="宋体" w:cs="宋体"/>
                <w:szCs w:val="21"/>
                <w:lang w:val="en-US" w:eastAsia="zh-CN"/>
              </w:rPr>
              <w:t>投标时</w:t>
            </w:r>
            <w:r>
              <w:rPr>
                <w:rFonts w:hint="eastAsia" w:ascii="宋体" w:hAnsi="宋体" w:eastAsia="宋体" w:cs="宋体"/>
                <w:szCs w:val="21"/>
                <w:lang w:val="zh-CN"/>
              </w:rPr>
              <w:t>UPS</w:t>
            </w:r>
            <w:bookmarkStart w:id="53" w:name="_Hlk92792264"/>
            <w:r>
              <w:rPr>
                <w:rFonts w:hint="eastAsia" w:ascii="宋体" w:hAnsi="宋体" w:eastAsia="宋体" w:cs="宋体"/>
                <w:szCs w:val="21"/>
                <w:lang w:val="zh-CN"/>
              </w:rPr>
              <w:t>主机显示屏截图</w:t>
            </w:r>
            <w:bookmarkEnd w:id="53"/>
            <w:r>
              <w:rPr>
                <w:rFonts w:hint="eastAsia" w:ascii="宋体" w:hAnsi="宋体" w:eastAsia="宋体" w:cs="宋体"/>
                <w:szCs w:val="21"/>
                <w:lang w:val="zh-CN"/>
              </w:rPr>
              <w:t>证明文件。</w:t>
            </w:r>
          </w:p>
          <w:p w14:paraId="0DABB7C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en-US" w:eastAsia="zh-CN"/>
              </w:rPr>
              <w:t>22、</w:t>
            </w:r>
            <w:r>
              <w:rPr>
                <w:rFonts w:hint="eastAsia" w:ascii="宋体" w:hAnsi="宋体" w:eastAsia="宋体" w:cs="宋体"/>
                <w:szCs w:val="21"/>
                <w:lang w:val="zh-CN"/>
              </w:rPr>
              <w:t>UPS必须</w:t>
            </w:r>
            <w:bookmarkStart w:id="54" w:name="_Hlk92792406"/>
            <w:r>
              <w:rPr>
                <w:rFonts w:hint="eastAsia" w:ascii="宋体" w:hAnsi="宋体" w:eastAsia="宋体" w:cs="宋体"/>
                <w:szCs w:val="21"/>
                <w:lang w:val="zh-CN"/>
              </w:rPr>
              <w:t>具备内部电容健康监测及预警功能。实时监测所有输入、输出滤波电容的温度，并在电容等关键部件失效之前提供预警信息</w:t>
            </w:r>
            <w:bookmarkEnd w:id="54"/>
            <w:r>
              <w:rPr>
                <w:rFonts w:hint="eastAsia" w:ascii="宋体" w:hAnsi="宋体" w:eastAsia="宋体" w:cs="宋体"/>
                <w:szCs w:val="21"/>
                <w:lang w:val="zh-CN"/>
              </w:rPr>
              <w:t>。</w:t>
            </w:r>
          </w:p>
          <w:p w14:paraId="154BA33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en-US" w:eastAsia="zh-CN"/>
              </w:rPr>
              <w:t>23、</w:t>
            </w:r>
            <w:r>
              <w:rPr>
                <w:rFonts w:hint="eastAsia" w:ascii="宋体" w:hAnsi="宋体" w:eastAsia="宋体" w:cs="宋体"/>
                <w:szCs w:val="21"/>
                <w:lang w:val="zh-CN"/>
              </w:rPr>
              <w:t>★UPS主机具备UPS具有关键板件，器件生命周期管理及报警功能，能够对UPS内部的消耗类易损部件(包括UPS的风扇、电容器、电池等重要部件)进行保养周期设置管理，到期提醒用户进行预防性检查维护。</w:t>
            </w:r>
            <w:r>
              <w:rPr>
                <w:rFonts w:hint="eastAsia" w:ascii="宋体" w:hAnsi="宋体" w:cs="宋体"/>
                <w:szCs w:val="21"/>
                <w:lang w:val="en-US" w:eastAsia="zh-CN"/>
              </w:rPr>
              <w:t>投标时提供相关</w:t>
            </w:r>
            <w:r>
              <w:rPr>
                <w:rFonts w:hint="eastAsia" w:ascii="宋体" w:hAnsi="宋体" w:eastAsia="宋体" w:cs="宋体"/>
                <w:szCs w:val="21"/>
                <w:lang w:val="zh-CN"/>
              </w:rPr>
              <w:t>设置界面证明文件。</w:t>
            </w:r>
          </w:p>
          <w:p w14:paraId="15D7D58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cs="宋体"/>
                <w:szCs w:val="21"/>
                <w:lang w:val="en-US" w:eastAsia="zh-CN"/>
              </w:rPr>
              <w:t>24、</w:t>
            </w:r>
            <w:r>
              <w:rPr>
                <w:rFonts w:hint="eastAsia" w:ascii="宋体" w:hAnsi="宋体" w:eastAsia="宋体" w:cs="宋体"/>
                <w:szCs w:val="21"/>
                <w:lang w:val="zh-CN"/>
              </w:rPr>
              <w:t>UPS智能监控网卡SNMP</w:t>
            </w:r>
            <w:bookmarkStart w:id="55" w:name="_Hlk92793347"/>
            <w:r>
              <w:rPr>
                <w:rFonts w:hint="eastAsia" w:ascii="宋体" w:hAnsi="宋体" w:eastAsia="宋体" w:cs="宋体"/>
                <w:szCs w:val="21"/>
                <w:lang w:val="zh-CN"/>
              </w:rPr>
              <w:t>支持千兆以太网通讯(1000Base-T)，及IPv6。并具备USB调试接口，以备在线调试SNMP设备，适应各类网络环境。同时具备复位按键，可在线重启智能监控网卡，无须重新插拔卡片启动。</w:t>
            </w:r>
            <w:bookmarkEnd w:id="55"/>
          </w:p>
          <w:p w14:paraId="2D84E1E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en-US" w:eastAsia="zh-CN"/>
              </w:rPr>
              <w:t>2</w:t>
            </w:r>
            <w:r>
              <w:rPr>
                <w:rFonts w:hint="eastAsia" w:ascii="宋体" w:hAnsi="宋体" w:cs="宋体"/>
                <w:szCs w:val="21"/>
                <w:lang w:val="en-US" w:eastAsia="zh-CN"/>
              </w:rPr>
              <w:t>5</w:t>
            </w:r>
            <w:r>
              <w:rPr>
                <w:rFonts w:hint="eastAsia" w:ascii="宋体" w:hAnsi="宋体" w:eastAsia="宋体" w:cs="宋体"/>
                <w:szCs w:val="21"/>
                <w:lang w:val="en-US" w:eastAsia="zh-CN"/>
              </w:rPr>
              <w:t>、</w:t>
            </w:r>
            <w:r>
              <w:rPr>
                <w:rFonts w:hint="eastAsia" w:ascii="宋体" w:hAnsi="宋体" w:eastAsia="宋体" w:cs="宋体"/>
                <w:szCs w:val="21"/>
                <w:lang w:val="zh-CN"/>
              </w:rPr>
              <w:t>★UPS具备支持市电断电后自动关闭服务器的保护功能，彻底避免了市电中断后，UPS转蓄电池组供电后，电池放光电后UPS自动关机导致的后台用电设备面临非法关机的风险。</w:t>
            </w:r>
            <w:r>
              <w:rPr>
                <w:rFonts w:hint="eastAsia" w:ascii="宋体" w:hAnsi="宋体" w:eastAsia="宋体" w:cs="宋体"/>
                <w:szCs w:val="21"/>
                <w:lang w:val="en-US" w:eastAsia="zh-CN"/>
              </w:rPr>
              <w:t>投标时提供相关佐证材料</w:t>
            </w:r>
            <w:r>
              <w:rPr>
                <w:rFonts w:hint="eastAsia" w:ascii="宋体" w:hAnsi="宋体" w:eastAsia="宋体" w:cs="宋体"/>
                <w:szCs w:val="21"/>
                <w:lang w:val="zh-CN"/>
              </w:rPr>
              <w:t>。</w:t>
            </w:r>
          </w:p>
          <w:p w14:paraId="727147B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en-US" w:eastAsia="zh-CN"/>
              </w:rPr>
              <w:t>2</w:t>
            </w:r>
            <w:r>
              <w:rPr>
                <w:rFonts w:hint="eastAsia" w:ascii="宋体" w:hAnsi="宋体" w:cs="宋体"/>
                <w:szCs w:val="21"/>
                <w:lang w:val="en-US" w:eastAsia="zh-CN"/>
              </w:rPr>
              <w:t>6</w:t>
            </w:r>
            <w:r>
              <w:rPr>
                <w:rFonts w:hint="eastAsia" w:ascii="宋体" w:hAnsi="宋体" w:eastAsia="宋体" w:cs="宋体"/>
                <w:szCs w:val="21"/>
                <w:lang w:val="en-US" w:eastAsia="zh-CN"/>
              </w:rPr>
              <w:t>、</w:t>
            </w:r>
            <w:r>
              <w:rPr>
                <w:rFonts w:hint="eastAsia" w:ascii="宋体" w:hAnsi="宋体" w:eastAsia="宋体" w:cs="宋体"/>
                <w:szCs w:val="21"/>
                <w:lang w:val="zh-CN"/>
              </w:rPr>
              <w:t>投标UPS产品应为原厂研发、设计、生产，禁止采用OEM/ODM贴牌产品。</w:t>
            </w:r>
          </w:p>
          <w:p w14:paraId="33B395C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en-US" w:eastAsia="zh-CN"/>
              </w:rPr>
              <w:t>2</w:t>
            </w:r>
            <w:r>
              <w:rPr>
                <w:rFonts w:hint="eastAsia" w:ascii="宋体" w:hAnsi="宋体" w:cs="宋体"/>
                <w:szCs w:val="21"/>
                <w:lang w:val="en-US" w:eastAsia="zh-CN"/>
              </w:rPr>
              <w:t>7</w:t>
            </w:r>
            <w:r>
              <w:rPr>
                <w:rFonts w:hint="eastAsia" w:ascii="宋体" w:hAnsi="宋体" w:eastAsia="宋体" w:cs="宋体"/>
                <w:szCs w:val="21"/>
                <w:lang w:val="en-US" w:eastAsia="zh-CN"/>
              </w:rPr>
              <w:t>、</w:t>
            </w:r>
            <w:r>
              <w:rPr>
                <w:rFonts w:hint="eastAsia" w:ascii="宋体" w:hAnsi="宋体" w:eastAsia="宋体" w:cs="宋体"/>
                <w:szCs w:val="21"/>
                <w:lang w:val="zh-CN"/>
              </w:rPr>
              <w:t>★投标UPS产品应具备CQC节能认证，</w:t>
            </w:r>
            <w:r>
              <w:rPr>
                <w:rFonts w:hint="eastAsia" w:ascii="宋体" w:hAnsi="宋体" w:cs="宋体"/>
                <w:szCs w:val="21"/>
                <w:lang w:val="en-US" w:eastAsia="zh-CN"/>
              </w:rPr>
              <w:t>投标时</w:t>
            </w:r>
            <w:r>
              <w:rPr>
                <w:rFonts w:hint="eastAsia" w:ascii="宋体" w:hAnsi="宋体" w:eastAsia="宋体" w:cs="宋体"/>
                <w:szCs w:val="21"/>
                <w:lang w:val="zh-CN"/>
              </w:rPr>
              <w:t>提供有效期内的节能认证证书及检测报告。</w:t>
            </w:r>
          </w:p>
          <w:p w14:paraId="0131A8C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en-US" w:eastAsia="zh-CN"/>
              </w:rPr>
              <w:t>2</w:t>
            </w:r>
            <w:r>
              <w:rPr>
                <w:rFonts w:hint="eastAsia" w:ascii="宋体" w:hAnsi="宋体" w:cs="宋体"/>
                <w:szCs w:val="21"/>
                <w:lang w:val="en-US" w:eastAsia="zh-CN"/>
              </w:rPr>
              <w:t>8</w:t>
            </w:r>
            <w:r>
              <w:rPr>
                <w:rFonts w:hint="eastAsia" w:ascii="宋体" w:hAnsi="宋体" w:eastAsia="宋体" w:cs="宋体"/>
                <w:szCs w:val="21"/>
                <w:lang w:val="en-US" w:eastAsia="zh-CN"/>
              </w:rPr>
              <w:t>、</w:t>
            </w:r>
            <w:r>
              <w:rPr>
                <w:rFonts w:hint="eastAsia" w:ascii="宋体" w:hAnsi="宋体" w:eastAsia="宋体" w:cs="宋体"/>
                <w:szCs w:val="21"/>
                <w:lang w:val="zh-CN"/>
              </w:rPr>
              <w:t>投标UPS产品应满足电信级抗震要求，通过8、9级烈度抗震性能检测。</w:t>
            </w:r>
          </w:p>
          <w:p w14:paraId="5177F55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en-US" w:eastAsia="zh-CN"/>
              </w:rPr>
              <w:t>2</w:t>
            </w:r>
            <w:r>
              <w:rPr>
                <w:rFonts w:hint="eastAsia" w:ascii="宋体" w:hAnsi="宋体" w:cs="宋体"/>
                <w:szCs w:val="21"/>
                <w:lang w:val="en-US" w:eastAsia="zh-CN"/>
              </w:rPr>
              <w:t>9</w:t>
            </w:r>
            <w:r>
              <w:rPr>
                <w:rFonts w:hint="eastAsia" w:ascii="宋体" w:hAnsi="宋体" w:eastAsia="宋体" w:cs="宋体"/>
                <w:szCs w:val="21"/>
                <w:lang w:val="en-US" w:eastAsia="zh-CN"/>
              </w:rPr>
              <w:t>、</w:t>
            </w:r>
            <w:r>
              <w:rPr>
                <w:rFonts w:hint="eastAsia" w:ascii="宋体" w:hAnsi="宋体" w:eastAsia="宋体" w:cs="宋体"/>
                <w:szCs w:val="21"/>
                <w:lang w:val="zh-CN"/>
              </w:rPr>
              <w:t>★提供设备原厂3年质保。</w:t>
            </w:r>
          </w:p>
          <w:p w14:paraId="2EB1225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cs="宋体"/>
                <w:szCs w:val="21"/>
                <w:lang w:val="en-US" w:eastAsia="zh-CN"/>
              </w:rPr>
              <w:t>30</w:t>
            </w:r>
            <w:r>
              <w:rPr>
                <w:rFonts w:hint="eastAsia" w:ascii="宋体" w:hAnsi="宋体" w:eastAsia="宋体" w:cs="宋体"/>
                <w:szCs w:val="21"/>
                <w:lang w:val="zh-CN"/>
              </w:rPr>
              <w:t>、</w:t>
            </w:r>
            <w:r>
              <w:rPr>
                <w:rFonts w:hint="eastAsia" w:ascii="宋体" w:hAnsi="宋体" w:cs="宋体"/>
                <w:szCs w:val="21"/>
                <w:lang w:val="zh-CN"/>
              </w:rPr>
              <w:t>为保障用户利益，对于中标单位提供虚假参数强行中标的行为，经测试查实后根据相关政府采购法规执行，并按相关要求赔偿采购方相关损失。</w:t>
            </w:r>
          </w:p>
          <w:p w14:paraId="5B0EDC4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en-US" w:eastAsia="zh-CN"/>
              </w:rPr>
              <w:t>3</w:t>
            </w:r>
            <w:r>
              <w:rPr>
                <w:rFonts w:hint="eastAsia" w:ascii="宋体" w:hAnsi="宋体" w:cs="宋体"/>
                <w:szCs w:val="21"/>
                <w:lang w:val="en-US" w:eastAsia="zh-CN"/>
              </w:rPr>
              <w:t>1</w:t>
            </w:r>
            <w:r>
              <w:rPr>
                <w:rFonts w:hint="eastAsia" w:ascii="宋体" w:hAnsi="宋体" w:eastAsia="宋体" w:cs="宋体"/>
                <w:szCs w:val="21"/>
                <w:lang w:val="zh-CN"/>
              </w:rPr>
              <w:t>、供货时，项目使用人为浙江康复医院，并能通过序列号查验，以免软件版权导致法律问题。</w:t>
            </w:r>
          </w:p>
        </w:tc>
      </w:tr>
    </w:tbl>
    <w:p w14:paraId="2EF599B4">
      <w:pPr>
        <w:spacing w:line="360" w:lineRule="auto"/>
        <w:ind w:firstLine="0" w:firstLineChars="0"/>
      </w:pPr>
    </w:p>
    <w:tbl>
      <w:tblPr>
        <w:tblStyle w:val="62"/>
        <w:tblW w:w="5000" w:type="pct"/>
        <w:tblInd w:w="0" w:type="dxa"/>
        <w:tblLayout w:type="autofit"/>
        <w:tblCellMar>
          <w:top w:w="0" w:type="dxa"/>
          <w:left w:w="108" w:type="dxa"/>
          <w:bottom w:w="0" w:type="dxa"/>
          <w:right w:w="108" w:type="dxa"/>
        </w:tblCellMar>
      </w:tblPr>
      <w:tblGrid>
        <w:gridCol w:w="1734"/>
        <w:gridCol w:w="6793"/>
      </w:tblGrid>
      <w:tr w14:paraId="6F7C099F">
        <w:tblPrEx>
          <w:tblCellMar>
            <w:top w:w="0" w:type="dxa"/>
            <w:left w:w="108" w:type="dxa"/>
            <w:bottom w:w="0" w:type="dxa"/>
            <w:right w:w="108" w:type="dxa"/>
          </w:tblCellMar>
        </w:tblPrEx>
        <w:trPr>
          <w:trHeight w:val="280" w:hRule="atLeast"/>
          <w:tblHeader/>
        </w:trPr>
        <w:tc>
          <w:tcPr>
            <w:tcW w:w="10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1FDF4">
            <w:pPr>
              <w:spacing w:line="360" w:lineRule="auto"/>
              <w:ind w:firstLine="0" w:firstLineChars="0"/>
              <w:rPr>
                <w:rFonts w:hint="eastAsia" w:ascii="宋体" w:hAnsi="宋体"/>
                <w:b/>
                <w:bCs/>
                <w:szCs w:val="21"/>
              </w:rPr>
            </w:pPr>
            <w:r>
              <w:rPr>
                <w:rFonts w:hint="eastAsia" w:ascii="宋体" w:hAnsi="宋体"/>
                <w:b/>
                <w:bCs/>
                <w:szCs w:val="21"/>
              </w:rPr>
              <w:t>产品型号</w:t>
            </w:r>
          </w:p>
        </w:tc>
        <w:tc>
          <w:tcPr>
            <w:tcW w:w="3983" w:type="pct"/>
            <w:tcBorders>
              <w:top w:val="single" w:color="auto" w:sz="4" w:space="0"/>
              <w:left w:val="nil"/>
              <w:bottom w:val="single" w:color="auto" w:sz="4" w:space="0"/>
              <w:right w:val="single" w:color="auto" w:sz="4" w:space="0"/>
            </w:tcBorders>
            <w:shd w:val="clear" w:color="auto" w:fill="auto"/>
            <w:noWrap/>
            <w:vAlign w:val="center"/>
          </w:tcPr>
          <w:p w14:paraId="259F30B3">
            <w:pPr>
              <w:spacing w:line="360" w:lineRule="auto"/>
              <w:ind w:firstLine="0" w:firstLineChars="0"/>
              <w:rPr>
                <w:rFonts w:hint="eastAsia" w:ascii="宋体" w:hAnsi="宋体"/>
                <w:b/>
                <w:bCs/>
                <w:szCs w:val="21"/>
              </w:rPr>
            </w:pPr>
            <w:r>
              <w:rPr>
                <w:rFonts w:hint="eastAsia" w:ascii="宋体" w:hAnsi="宋体"/>
                <w:b/>
                <w:bCs/>
                <w:szCs w:val="21"/>
              </w:rPr>
              <w:t>技术要求</w:t>
            </w:r>
          </w:p>
        </w:tc>
      </w:tr>
      <w:tr w14:paraId="562D0AD9">
        <w:tblPrEx>
          <w:tblCellMar>
            <w:top w:w="0" w:type="dxa"/>
            <w:left w:w="108" w:type="dxa"/>
            <w:bottom w:w="0" w:type="dxa"/>
            <w:right w:w="108" w:type="dxa"/>
          </w:tblCellMar>
        </w:tblPrEx>
        <w:trPr>
          <w:trHeight w:val="1087" w:hRule="atLeast"/>
        </w:trPr>
        <w:tc>
          <w:tcPr>
            <w:tcW w:w="1017" w:type="pct"/>
            <w:tcBorders>
              <w:top w:val="nil"/>
              <w:left w:val="single" w:color="auto" w:sz="4" w:space="0"/>
              <w:bottom w:val="single" w:color="auto" w:sz="4" w:space="0"/>
              <w:right w:val="single" w:color="auto" w:sz="4" w:space="0"/>
            </w:tcBorders>
            <w:shd w:val="clear" w:color="auto" w:fill="auto"/>
            <w:noWrap/>
            <w:vAlign w:val="center"/>
          </w:tcPr>
          <w:p w14:paraId="4B489831">
            <w:pPr>
              <w:spacing w:line="360" w:lineRule="auto"/>
              <w:ind w:firstLine="0" w:firstLineChars="0"/>
              <w:rPr>
                <w:rFonts w:hint="eastAsia" w:ascii="宋体" w:hAnsi="宋体"/>
                <w:szCs w:val="21"/>
              </w:rPr>
            </w:pPr>
            <w:r>
              <w:rPr>
                <w:rFonts w:hint="eastAsia" w:ascii="宋体" w:hAnsi="宋体"/>
                <w:szCs w:val="21"/>
              </w:rPr>
              <w:t>UPS电池</w:t>
            </w:r>
          </w:p>
        </w:tc>
        <w:tc>
          <w:tcPr>
            <w:tcW w:w="3983" w:type="pct"/>
            <w:tcBorders>
              <w:top w:val="nil"/>
              <w:left w:val="nil"/>
              <w:bottom w:val="single" w:color="auto" w:sz="4" w:space="0"/>
              <w:right w:val="single" w:color="auto" w:sz="4" w:space="0"/>
            </w:tcBorders>
            <w:shd w:val="clear" w:color="auto" w:fill="auto"/>
            <w:vAlign w:val="center"/>
          </w:tcPr>
          <w:p w14:paraId="234C368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1、★蓄电池外观不应有裂纹、污迹及明显变形，蓄电池的正负极端子及极性应有明显标记，蓄电池可选配防漏液托盘保护，</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w:t>
            </w:r>
          </w:p>
          <w:p w14:paraId="6D72EEFE">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2、10h率容量不低于100AH，具备耐高电流能力、抗机械破损能力。短路电流：蓄电池的短路电流≥2006A。</w:t>
            </w:r>
          </w:p>
          <w:p w14:paraId="6AAB25A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3、★蓄电池按 GB/T 19638.1-2014 第6.16 条试验，槽、盖的有焰燃烧时间应≤10s,有焰加无焰燃烧时间应≤30s;</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w:t>
            </w:r>
          </w:p>
          <w:p w14:paraId="028F26C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4、★低温敏感性：蓄电池按 GB/T 19638.1-2014 第6.14 条试验，完全充电的蓄电池以10A电流放电至单体蓄电池平均电压为1.80V时终止将所得的实际容量修正至Ca(25℃)，蓄电池不经再充电置于（-18℃±2℃）的冷冻机中静置72h，取出后在室温下开路静置24h，然后以恒压连续充电168h后，进行3h率放电试验，容量应≥60Ah；</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w:t>
            </w:r>
          </w:p>
          <w:p w14:paraId="3114F31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5、蓄电池按 GB/T 19638.1-2014 第6.11条试验，充电电量每1AH析出的酸雾量应不大于0.017mg。</w:t>
            </w:r>
          </w:p>
          <w:p w14:paraId="1FA455D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6、提供原厂3年售后服务</w:t>
            </w:r>
          </w:p>
          <w:p w14:paraId="1EFC9A6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en-US" w:eastAsia="zh-CN"/>
              </w:rPr>
              <w:t>7</w:t>
            </w:r>
            <w:r>
              <w:rPr>
                <w:rFonts w:hint="eastAsia" w:ascii="宋体" w:hAnsi="宋体" w:eastAsia="宋体" w:cs="宋体"/>
                <w:szCs w:val="21"/>
                <w:lang w:val="zh-CN"/>
              </w:rPr>
              <w:t>、</w:t>
            </w:r>
            <w:r>
              <w:rPr>
                <w:rFonts w:hint="eastAsia" w:ascii="宋体" w:hAnsi="宋体" w:cs="宋体"/>
                <w:szCs w:val="21"/>
                <w:lang w:val="zh-CN"/>
              </w:rPr>
              <w:t>为保障用户利益，对于中标单位提供虚假参数强行中标的行为，经测试查实后根据相关政府采购法规执行，并按相关要求赔偿采购方相关损失。</w:t>
            </w:r>
          </w:p>
          <w:p w14:paraId="1D444E28">
            <w:pPr>
              <w:autoSpaceDE w:val="0"/>
              <w:autoSpaceDN w:val="0"/>
              <w:snapToGrid w:val="0"/>
              <w:spacing w:line="360" w:lineRule="auto"/>
              <w:ind w:firstLine="0" w:firstLineChars="0"/>
              <w:jc w:val="left"/>
              <w:rPr>
                <w:rFonts w:hint="eastAsia" w:ascii="宋体" w:hAnsi="宋体"/>
                <w:szCs w:val="21"/>
              </w:rPr>
            </w:pPr>
            <w:r>
              <w:rPr>
                <w:rFonts w:hint="eastAsia" w:ascii="宋体" w:hAnsi="宋体" w:eastAsia="宋体" w:cs="宋体"/>
                <w:szCs w:val="21"/>
                <w:lang w:val="en-US" w:eastAsia="zh-CN"/>
              </w:rPr>
              <w:t>8、</w:t>
            </w:r>
            <w:r>
              <w:rPr>
                <w:rFonts w:hint="eastAsia" w:ascii="宋体" w:hAnsi="宋体" w:eastAsia="宋体" w:cs="宋体"/>
                <w:szCs w:val="21"/>
                <w:lang w:val="zh-CN"/>
              </w:rPr>
              <w:t>供货时，项目使用人为浙江康复医院，并能通过序列号查验，以免软件版权导致法律问题。</w:t>
            </w:r>
          </w:p>
        </w:tc>
      </w:tr>
    </w:tbl>
    <w:p w14:paraId="1EA9AE1D">
      <w:pPr>
        <w:adjustRightInd w:val="0"/>
        <w:spacing w:line="360" w:lineRule="auto"/>
        <w:ind w:firstLine="0" w:firstLineChars="0"/>
        <w:rPr>
          <w:rFonts w:hint="eastAsia" w:ascii="宋体" w:hAnsi="宋体" w:eastAsia="宋体" w:cs="宋体"/>
        </w:rPr>
      </w:pPr>
    </w:p>
    <w:p w14:paraId="5F80B8C9">
      <w:pPr>
        <w:spacing w:line="360" w:lineRule="auto"/>
        <w:ind w:firstLine="0" w:firstLineChars="0"/>
      </w:pPr>
      <w:r>
        <w:rPr>
          <w:rFonts w:hint="eastAsia" w:ascii="宋体" w:hAnsi="宋体" w:eastAsia="宋体" w:cs="宋体"/>
        </w:rPr>
        <w:t>2.2、UPS机房改造建设</w:t>
      </w:r>
      <w:r>
        <w:rPr>
          <w:rFonts w:hint="eastAsia"/>
        </w:rPr>
        <w:t>标准</w:t>
      </w:r>
    </w:p>
    <w:tbl>
      <w:tblPr>
        <w:tblStyle w:val="62"/>
        <w:tblpPr w:leftFromText="180" w:rightFromText="180" w:vertAnchor="text" w:horzAnchor="margin" w:tblpX="96" w:tblpY="138"/>
        <w:tblW w:w="8662" w:type="dxa"/>
        <w:tblInd w:w="0" w:type="dxa"/>
        <w:tblLayout w:type="fixed"/>
        <w:tblCellMar>
          <w:top w:w="0" w:type="dxa"/>
          <w:left w:w="108" w:type="dxa"/>
          <w:bottom w:w="0" w:type="dxa"/>
          <w:right w:w="108" w:type="dxa"/>
        </w:tblCellMar>
      </w:tblPr>
      <w:tblGrid>
        <w:gridCol w:w="682"/>
        <w:gridCol w:w="2154"/>
        <w:gridCol w:w="1191"/>
        <w:gridCol w:w="903"/>
        <w:gridCol w:w="709"/>
        <w:gridCol w:w="3023"/>
      </w:tblGrid>
      <w:tr w14:paraId="7402A31D">
        <w:tblPrEx>
          <w:tblCellMar>
            <w:top w:w="0" w:type="dxa"/>
            <w:left w:w="108" w:type="dxa"/>
            <w:bottom w:w="0" w:type="dxa"/>
            <w:right w:w="108" w:type="dxa"/>
          </w:tblCellMar>
        </w:tblPrEx>
        <w:trPr>
          <w:trHeight w:val="100"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D4DFD">
            <w:pPr>
              <w:widowControl/>
              <w:spacing w:line="360" w:lineRule="auto"/>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2154" w:type="dxa"/>
            <w:tcBorders>
              <w:top w:val="single" w:color="auto" w:sz="4" w:space="0"/>
              <w:left w:val="nil"/>
              <w:bottom w:val="single" w:color="auto" w:sz="4" w:space="0"/>
              <w:right w:val="single" w:color="auto" w:sz="4" w:space="0"/>
            </w:tcBorders>
            <w:shd w:val="clear" w:color="auto" w:fill="auto"/>
            <w:noWrap/>
            <w:vAlign w:val="center"/>
          </w:tcPr>
          <w:p w14:paraId="6845DBB1">
            <w:pPr>
              <w:widowControl/>
              <w:spacing w:line="360" w:lineRule="auto"/>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名称</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5B0A0E02">
            <w:pPr>
              <w:widowControl/>
              <w:spacing w:line="360" w:lineRule="auto"/>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参数</w:t>
            </w:r>
          </w:p>
        </w:tc>
        <w:tc>
          <w:tcPr>
            <w:tcW w:w="903" w:type="dxa"/>
            <w:tcBorders>
              <w:top w:val="single" w:color="auto" w:sz="4" w:space="0"/>
              <w:left w:val="nil"/>
              <w:bottom w:val="single" w:color="auto" w:sz="4" w:space="0"/>
              <w:right w:val="single" w:color="auto" w:sz="4" w:space="0"/>
            </w:tcBorders>
            <w:shd w:val="clear" w:color="auto" w:fill="auto"/>
            <w:noWrap/>
            <w:vAlign w:val="center"/>
          </w:tcPr>
          <w:p w14:paraId="2BC85478">
            <w:pPr>
              <w:widowControl/>
              <w:spacing w:line="360" w:lineRule="auto"/>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F5D4F18">
            <w:pPr>
              <w:widowControl/>
              <w:spacing w:line="360" w:lineRule="auto"/>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c>
          <w:tcPr>
            <w:tcW w:w="3023" w:type="dxa"/>
            <w:tcBorders>
              <w:top w:val="single" w:color="auto" w:sz="4" w:space="0"/>
              <w:left w:val="nil"/>
              <w:bottom w:val="single" w:color="auto" w:sz="4" w:space="0"/>
              <w:right w:val="single" w:color="auto" w:sz="4" w:space="0"/>
            </w:tcBorders>
            <w:shd w:val="clear" w:color="auto" w:fill="auto"/>
            <w:noWrap/>
            <w:vAlign w:val="center"/>
          </w:tcPr>
          <w:p w14:paraId="79B01AD7">
            <w:pPr>
              <w:widowControl/>
              <w:spacing w:line="360" w:lineRule="auto"/>
              <w:ind w:firstLine="0" w:firstLineChars="0"/>
              <w:jc w:val="center"/>
              <w:rPr>
                <w:rFonts w:hint="eastAsia" w:ascii="宋体" w:hAnsi="宋体" w:cs="宋体"/>
                <w:b/>
                <w:bCs/>
                <w:color w:val="000000"/>
                <w:kern w:val="0"/>
                <w:szCs w:val="21"/>
              </w:rPr>
            </w:pPr>
            <w:r>
              <w:rPr>
                <w:rFonts w:hint="eastAsia" w:ascii="宋体" w:hAnsi="宋体" w:cs="宋体"/>
                <w:b/>
                <w:bCs/>
                <w:color w:val="000000"/>
                <w:kern w:val="0"/>
                <w:szCs w:val="21"/>
              </w:rPr>
              <w:t>备注</w:t>
            </w:r>
          </w:p>
        </w:tc>
      </w:tr>
      <w:tr w14:paraId="09073425">
        <w:tblPrEx>
          <w:tblCellMar>
            <w:top w:w="0" w:type="dxa"/>
            <w:left w:w="108" w:type="dxa"/>
            <w:bottom w:w="0" w:type="dxa"/>
            <w:right w:w="108" w:type="dxa"/>
          </w:tblCellMar>
        </w:tblPrEx>
        <w:trPr>
          <w:trHeight w:val="90" w:hRule="atLeast"/>
        </w:trPr>
        <w:tc>
          <w:tcPr>
            <w:tcW w:w="8662" w:type="dxa"/>
            <w:gridSpan w:val="6"/>
            <w:tcBorders>
              <w:top w:val="nil"/>
              <w:left w:val="single" w:color="auto" w:sz="4" w:space="0"/>
              <w:bottom w:val="single" w:color="auto" w:sz="4" w:space="0"/>
              <w:right w:val="single" w:color="auto" w:sz="4" w:space="0"/>
            </w:tcBorders>
            <w:shd w:val="clear" w:color="auto" w:fill="auto"/>
            <w:noWrap/>
            <w:vAlign w:val="center"/>
          </w:tcPr>
          <w:p w14:paraId="03DE7A51">
            <w:pPr>
              <w:widowControl/>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rPr>
              <w:t>UPS机房改造部分</w:t>
            </w:r>
          </w:p>
        </w:tc>
      </w:tr>
      <w:tr w14:paraId="4178DB0F">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74682430">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54" w:type="dxa"/>
            <w:tcBorders>
              <w:top w:val="nil"/>
              <w:left w:val="nil"/>
              <w:bottom w:val="single" w:color="auto" w:sz="4" w:space="0"/>
              <w:right w:val="single" w:color="auto" w:sz="4" w:space="0"/>
            </w:tcBorders>
            <w:shd w:val="clear" w:color="auto" w:fill="auto"/>
            <w:noWrap/>
            <w:vAlign w:val="center"/>
          </w:tcPr>
          <w:p w14:paraId="5A4140D8">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静电地板</w:t>
            </w:r>
          </w:p>
        </w:tc>
        <w:tc>
          <w:tcPr>
            <w:tcW w:w="1191" w:type="dxa"/>
            <w:tcBorders>
              <w:top w:val="nil"/>
              <w:left w:val="nil"/>
              <w:bottom w:val="single" w:color="auto" w:sz="4" w:space="0"/>
              <w:right w:val="single" w:color="auto" w:sz="4" w:space="0"/>
            </w:tcBorders>
            <w:shd w:val="clear" w:color="auto" w:fill="auto"/>
            <w:noWrap/>
            <w:vAlign w:val="center"/>
          </w:tcPr>
          <w:p w14:paraId="14617E9B">
            <w:pPr>
              <w:widowControl/>
              <w:ind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600*600mm</w:t>
            </w:r>
          </w:p>
        </w:tc>
        <w:tc>
          <w:tcPr>
            <w:tcW w:w="903" w:type="dxa"/>
            <w:tcBorders>
              <w:top w:val="nil"/>
              <w:left w:val="nil"/>
              <w:bottom w:val="single" w:color="auto" w:sz="4" w:space="0"/>
              <w:right w:val="single" w:color="auto" w:sz="4" w:space="0"/>
            </w:tcBorders>
            <w:shd w:val="clear" w:color="auto" w:fill="auto"/>
            <w:noWrap/>
            <w:vAlign w:val="center"/>
          </w:tcPr>
          <w:p w14:paraId="7B42B581">
            <w:pPr>
              <w:widowControl/>
              <w:ind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平方</w:t>
            </w:r>
          </w:p>
        </w:tc>
        <w:tc>
          <w:tcPr>
            <w:tcW w:w="709" w:type="dxa"/>
            <w:tcBorders>
              <w:top w:val="nil"/>
              <w:left w:val="nil"/>
              <w:bottom w:val="single" w:color="auto" w:sz="4" w:space="0"/>
              <w:right w:val="single" w:color="auto" w:sz="4" w:space="0"/>
            </w:tcBorders>
            <w:shd w:val="clear" w:color="auto" w:fill="auto"/>
            <w:noWrap/>
            <w:vAlign w:val="center"/>
          </w:tcPr>
          <w:p w14:paraId="493A14B7">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3023" w:type="dxa"/>
            <w:tcBorders>
              <w:top w:val="nil"/>
              <w:left w:val="nil"/>
              <w:bottom w:val="single" w:color="auto" w:sz="4" w:space="0"/>
              <w:right w:val="single" w:color="auto" w:sz="4" w:space="0"/>
            </w:tcBorders>
            <w:shd w:val="clear" w:color="auto" w:fill="auto"/>
            <w:noWrap/>
            <w:vAlign w:val="center"/>
          </w:tcPr>
          <w:p w14:paraId="54399E40">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包含支架，横档</w:t>
            </w:r>
          </w:p>
        </w:tc>
      </w:tr>
      <w:tr w14:paraId="47F8B838">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5478B82C">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154" w:type="dxa"/>
            <w:tcBorders>
              <w:top w:val="nil"/>
              <w:left w:val="nil"/>
              <w:bottom w:val="single" w:color="auto" w:sz="4" w:space="0"/>
              <w:right w:val="single" w:color="auto" w:sz="4" w:space="0"/>
            </w:tcBorders>
            <w:shd w:val="clear" w:color="auto" w:fill="auto"/>
            <w:noWrap/>
            <w:vAlign w:val="center"/>
          </w:tcPr>
          <w:p w14:paraId="363E5523">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墙面及顶面乳胶漆</w:t>
            </w:r>
          </w:p>
        </w:tc>
        <w:tc>
          <w:tcPr>
            <w:tcW w:w="1191" w:type="dxa"/>
            <w:tcBorders>
              <w:top w:val="nil"/>
              <w:left w:val="nil"/>
              <w:bottom w:val="single" w:color="auto" w:sz="4" w:space="0"/>
              <w:right w:val="single" w:color="auto" w:sz="4" w:space="0"/>
            </w:tcBorders>
            <w:shd w:val="clear" w:color="auto" w:fill="auto"/>
            <w:noWrap/>
            <w:vAlign w:val="center"/>
          </w:tcPr>
          <w:p w14:paraId="105501CD">
            <w:pPr>
              <w:widowControl/>
              <w:ind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3遍成品</w:t>
            </w:r>
          </w:p>
        </w:tc>
        <w:tc>
          <w:tcPr>
            <w:tcW w:w="903" w:type="dxa"/>
            <w:tcBorders>
              <w:top w:val="nil"/>
              <w:left w:val="nil"/>
              <w:bottom w:val="single" w:color="auto" w:sz="4" w:space="0"/>
              <w:right w:val="single" w:color="auto" w:sz="4" w:space="0"/>
            </w:tcBorders>
            <w:shd w:val="clear" w:color="auto" w:fill="auto"/>
            <w:noWrap/>
            <w:vAlign w:val="center"/>
          </w:tcPr>
          <w:p w14:paraId="2832C009">
            <w:pPr>
              <w:widowControl/>
              <w:ind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平方</w:t>
            </w:r>
          </w:p>
        </w:tc>
        <w:tc>
          <w:tcPr>
            <w:tcW w:w="709" w:type="dxa"/>
            <w:tcBorders>
              <w:top w:val="nil"/>
              <w:left w:val="nil"/>
              <w:bottom w:val="single" w:color="auto" w:sz="4" w:space="0"/>
              <w:right w:val="single" w:color="auto" w:sz="4" w:space="0"/>
            </w:tcBorders>
            <w:shd w:val="clear" w:color="auto" w:fill="auto"/>
            <w:noWrap/>
            <w:vAlign w:val="center"/>
          </w:tcPr>
          <w:p w14:paraId="3DFDD357">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220</w:t>
            </w:r>
          </w:p>
        </w:tc>
        <w:tc>
          <w:tcPr>
            <w:tcW w:w="3023" w:type="dxa"/>
            <w:tcBorders>
              <w:top w:val="nil"/>
              <w:left w:val="nil"/>
              <w:bottom w:val="single" w:color="auto" w:sz="4" w:space="0"/>
              <w:right w:val="single" w:color="auto" w:sz="4" w:space="0"/>
            </w:tcBorders>
            <w:shd w:val="clear" w:color="auto" w:fill="auto"/>
            <w:noWrap/>
            <w:vAlign w:val="center"/>
          </w:tcPr>
          <w:p w14:paraId="4DA181AD">
            <w:pPr>
              <w:widowControl/>
              <w:spacing w:line="360" w:lineRule="auto"/>
              <w:ind w:firstLine="0" w:firstLineChars="0"/>
              <w:jc w:val="center"/>
              <w:rPr>
                <w:rFonts w:hint="eastAsia" w:ascii="宋体" w:hAnsi="宋体" w:cs="宋体"/>
                <w:color w:val="000000"/>
                <w:kern w:val="0"/>
                <w:szCs w:val="21"/>
                <w:highlight w:val="yellow"/>
              </w:rPr>
            </w:pPr>
          </w:p>
        </w:tc>
      </w:tr>
      <w:tr w14:paraId="79D70E0D">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2BC0052D">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54" w:type="dxa"/>
            <w:tcBorders>
              <w:top w:val="nil"/>
              <w:left w:val="nil"/>
              <w:bottom w:val="single" w:color="auto" w:sz="4" w:space="0"/>
              <w:right w:val="single" w:color="auto" w:sz="4" w:space="0"/>
            </w:tcBorders>
            <w:shd w:val="clear" w:color="auto" w:fill="auto"/>
            <w:noWrap/>
            <w:vAlign w:val="center"/>
          </w:tcPr>
          <w:p w14:paraId="0093581B">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空调</w:t>
            </w:r>
          </w:p>
        </w:tc>
        <w:tc>
          <w:tcPr>
            <w:tcW w:w="1191" w:type="dxa"/>
            <w:tcBorders>
              <w:top w:val="nil"/>
              <w:left w:val="nil"/>
              <w:bottom w:val="single" w:color="auto" w:sz="4" w:space="0"/>
              <w:right w:val="single" w:color="auto" w:sz="4" w:space="0"/>
            </w:tcBorders>
            <w:shd w:val="clear" w:color="auto" w:fill="auto"/>
            <w:noWrap/>
            <w:vAlign w:val="center"/>
          </w:tcPr>
          <w:p w14:paraId="2FA7C599">
            <w:pPr>
              <w:widowControl/>
              <w:ind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2匹</w:t>
            </w:r>
          </w:p>
        </w:tc>
        <w:tc>
          <w:tcPr>
            <w:tcW w:w="903" w:type="dxa"/>
            <w:tcBorders>
              <w:top w:val="nil"/>
              <w:left w:val="nil"/>
              <w:bottom w:val="single" w:color="auto" w:sz="4" w:space="0"/>
              <w:right w:val="single" w:color="auto" w:sz="4" w:space="0"/>
            </w:tcBorders>
            <w:shd w:val="clear" w:color="auto" w:fill="auto"/>
            <w:noWrap/>
            <w:vAlign w:val="center"/>
          </w:tcPr>
          <w:p w14:paraId="5254447E">
            <w:pPr>
              <w:widowControl/>
              <w:ind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台</w:t>
            </w:r>
          </w:p>
        </w:tc>
        <w:tc>
          <w:tcPr>
            <w:tcW w:w="709" w:type="dxa"/>
            <w:tcBorders>
              <w:top w:val="nil"/>
              <w:left w:val="nil"/>
              <w:bottom w:val="single" w:color="auto" w:sz="4" w:space="0"/>
              <w:right w:val="single" w:color="auto" w:sz="4" w:space="0"/>
            </w:tcBorders>
            <w:shd w:val="clear" w:color="auto" w:fill="auto"/>
            <w:noWrap/>
            <w:vAlign w:val="center"/>
          </w:tcPr>
          <w:p w14:paraId="05D466D0">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023" w:type="dxa"/>
            <w:tcBorders>
              <w:top w:val="nil"/>
              <w:left w:val="nil"/>
              <w:bottom w:val="single" w:color="auto" w:sz="4" w:space="0"/>
              <w:right w:val="single" w:color="auto" w:sz="4" w:space="0"/>
            </w:tcBorders>
            <w:shd w:val="clear" w:color="auto" w:fill="auto"/>
            <w:noWrap/>
            <w:vAlign w:val="center"/>
          </w:tcPr>
          <w:p w14:paraId="4078EADE">
            <w:pPr>
              <w:widowControl/>
              <w:spacing w:line="360" w:lineRule="auto"/>
              <w:ind w:firstLine="0" w:firstLineChars="0"/>
              <w:jc w:val="center"/>
              <w:rPr>
                <w:rFonts w:hint="eastAsia" w:ascii="宋体" w:hAnsi="宋体" w:cs="宋体"/>
                <w:color w:val="000000"/>
                <w:kern w:val="0"/>
                <w:szCs w:val="21"/>
                <w:highlight w:val="yellow"/>
              </w:rPr>
            </w:pPr>
          </w:p>
        </w:tc>
      </w:tr>
      <w:tr w14:paraId="5E0C3F93">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4A430CE5">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154" w:type="dxa"/>
            <w:tcBorders>
              <w:top w:val="nil"/>
              <w:left w:val="nil"/>
              <w:bottom w:val="single" w:color="auto" w:sz="4" w:space="0"/>
              <w:right w:val="single" w:color="auto" w:sz="4" w:space="0"/>
            </w:tcBorders>
            <w:shd w:val="clear" w:color="auto" w:fill="auto"/>
            <w:noWrap/>
            <w:vAlign w:val="center"/>
          </w:tcPr>
          <w:p w14:paraId="095296EB">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市电进线箱</w:t>
            </w:r>
          </w:p>
        </w:tc>
        <w:tc>
          <w:tcPr>
            <w:tcW w:w="1191" w:type="dxa"/>
            <w:tcBorders>
              <w:top w:val="nil"/>
              <w:left w:val="nil"/>
              <w:bottom w:val="single" w:color="auto" w:sz="4" w:space="0"/>
              <w:right w:val="single" w:color="auto" w:sz="4" w:space="0"/>
            </w:tcBorders>
            <w:shd w:val="clear" w:color="auto" w:fill="auto"/>
            <w:noWrap/>
            <w:vAlign w:val="center"/>
          </w:tcPr>
          <w:p w14:paraId="74D41D4C">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UPS输入空开3P63A*1</w:t>
            </w:r>
          </w:p>
          <w:p w14:paraId="0343DA70">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支路空开32A*3，备用16A*3</w:t>
            </w:r>
          </w:p>
          <w:p w14:paraId="40747429">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含电量仪，防雷</w:t>
            </w:r>
          </w:p>
        </w:tc>
        <w:tc>
          <w:tcPr>
            <w:tcW w:w="903" w:type="dxa"/>
            <w:tcBorders>
              <w:top w:val="nil"/>
              <w:left w:val="nil"/>
              <w:bottom w:val="single" w:color="auto" w:sz="4" w:space="0"/>
              <w:right w:val="single" w:color="auto" w:sz="4" w:space="0"/>
            </w:tcBorders>
            <w:shd w:val="clear" w:color="auto" w:fill="auto"/>
            <w:noWrap/>
            <w:vAlign w:val="center"/>
          </w:tcPr>
          <w:p w14:paraId="4E992AFA">
            <w:pPr>
              <w:widowControl/>
              <w:ind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rPr>
              <w:t>个</w:t>
            </w:r>
          </w:p>
        </w:tc>
        <w:tc>
          <w:tcPr>
            <w:tcW w:w="709" w:type="dxa"/>
            <w:tcBorders>
              <w:top w:val="nil"/>
              <w:left w:val="nil"/>
              <w:bottom w:val="single" w:color="auto" w:sz="4" w:space="0"/>
              <w:right w:val="single" w:color="auto" w:sz="4" w:space="0"/>
            </w:tcBorders>
            <w:shd w:val="clear" w:color="auto" w:fill="auto"/>
            <w:noWrap/>
            <w:vAlign w:val="center"/>
          </w:tcPr>
          <w:p w14:paraId="651289BE">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023" w:type="dxa"/>
            <w:tcBorders>
              <w:top w:val="nil"/>
              <w:left w:val="nil"/>
              <w:bottom w:val="single" w:color="auto" w:sz="4" w:space="0"/>
              <w:right w:val="single" w:color="auto" w:sz="4" w:space="0"/>
            </w:tcBorders>
            <w:shd w:val="clear" w:color="auto" w:fill="auto"/>
            <w:noWrap/>
            <w:vAlign w:val="center"/>
          </w:tcPr>
          <w:p w14:paraId="133B1E76">
            <w:pPr>
              <w:widowControl/>
              <w:spacing w:line="360" w:lineRule="auto"/>
              <w:ind w:firstLine="0" w:firstLineChars="0"/>
              <w:jc w:val="center"/>
              <w:rPr>
                <w:rFonts w:hint="eastAsia" w:ascii="宋体" w:hAnsi="宋体" w:cs="宋体"/>
                <w:color w:val="000000"/>
                <w:kern w:val="0"/>
                <w:szCs w:val="21"/>
                <w:highlight w:val="yellow"/>
              </w:rPr>
            </w:pPr>
          </w:p>
        </w:tc>
      </w:tr>
      <w:tr w14:paraId="511B3C9F">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16EFD8C6">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154" w:type="dxa"/>
            <w:tcBorders>
              <w:top w:val="nil"/>
              <w:left w:val="nil"/>
              <w:bottom w:val="single" w:color="auto" w:sz="4" w:space="0"/>
              <w:right w:val="single" w:color="auto" w:sz="4" w:space="0"/>
            </w:tcBorders>
            <w:shd w:val="clear" w:color="auto" w:fill="auto"/>
            <w:noWrap/>
            <w:vAlign w:val="center"/>
          </w:tcPr>
          <w:p w14:paraId="0A5BECC3">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UPS空开箱</w:t>
            </w:r>
          </w:p>
        </w:tc>
        <w:tc>
          <w:tcPr>
            <w:tcW w:w="1191" w:type="dxa"/>
            <w:tcBorders>
              <w:top w:val="nil"/>
              <w:left w:val="nil"/>
              <w:bottom w:val="single" w:color="auto" w:sz="4" w:space="0"/>
              <w:right w:val="single" w:color="auto" w:sz="4" w:space="0"/>
            </w:tcBorders>
            <w:shd w:val="clear" w:color="auto" w:fill="auto"/>
            <w:noWrap/>
            <w:vAlign w:val="center"/>
          </w:tcPr>
          <w:p w14:paraId="2849F9FD">
            <w:pPr>
              <w:widowControl/>
              <w:spacing w:line="360" w:lineRule="auto"/>
              <w:ind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输入空开63A*1</w:t>
            </w:r>
          </w:p>
          <w:p w14:paraId="6FA3DAD5">
            <w:pPr>
              <w:widowControl/>
              <w:spacing w:line="360" w:lineRule="auto"/>
              <w:ind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输出分路空开32A*12</w:t>
            </w:r>
          </w:p>
          <w:p w14:paraId="0396BD99">
            <w:pPr>
              <w:widowControl/>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含防雷</w:t>
            </w:r>
          </w:p>
        </w:tc>
        <w:tc>
          <w:tcPr>
            <w:tcW w:w="903" w:type="dxa"/>
            <w:tcBorders>
              <w:top w:val="nil"/>
              <w:left w:val="nil"/>
              <w:bottom w:val="single" w:color="auto" w:sz="4" w:space="0"/>
              <w:right w:val="single" w:color="auto" w:sz="4" w:space="0"/>
            </w:tcBorders>
            <w:shd w:val="clear" w:color="auto" w:fill="auto"/>
            <w:noWrap/>
            <w:vAlign w:val="center"/>
          </w:tcPr>
          <w:p w14:paraId="48F4585E">
            <w:pPr>
              <w:widowControl/>
              <w:ind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Cs w:val="21"/>
                <w:highlight w:val="none"/>
              </w:rPr>
              <w:t>个</w:t>
            </w:r>
          </w:p>
        </w:tc>
        <w:tc>
          <w:tcPr>
            <w:tcW w:w="709" w:type="dxa"/>
            <w:tcBorders>
              <w:top w:val="nil"/>
              <w:left w:val="nil"/>
              <w:bottom w:val="single" w:color="auto" w:sz="4" w:space="0"/>
              <w:right w:val="single" w:color="auto" w:sz="4" w:space="0"/>
            </w:tcBorders>
            <w:shd w:val="clear" w:color="auto" w:fill="auto"/>
            <w:noWrap/>
            <w:vAlign w:val="center"/>
          </w:tcPr>
          <w:p w14:paraId="60EEFA6B">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3023" w:type="dxa"/>
            <w:tcBorders>
              <w:top w:val="nil"/>
              <w:left w:val="nil"/>
              <w:bottom w:val="single" w:color="auto" w:sz="4" w:space="0"/>
              <w:right w:val="single" w:color="auto" w:sz="4" w:space="0"/>
            </w:tcBorders>
            <w:shd w:val="clear" w:color="auto" w:fill="auto"/>
            <w:noWrap/>
            <w:vAlign w:val="center"/>
          </w:tcPr>
          <w:p w14:paraId="4B09C6C4">
            <w:pPr>
              <w:widowControl/>
              <w:spacing w:line="360" w:lineRule="auto"/>
              <w:ind w:firstLine="0" w:firstLineChars="0"/>
              <w:jc w:val="center"/>
              <w:rPr>
                <w:rFonts w:hint="eastAsia" w:ascii="宋体" w:hAnsi="宋体" w:cs="宋体"/>
                <w:color w:val="000000"/>
                <w:kern w:val="0"/>
                <w:szCs w:val="21"/>
                <w:highlight w:val="yellow"/>
              </w:rPr>
            </w:pPr>
          </w:p>
        </w:tc>
      </w:tr>
      <w:tr w14:paraId="1C59502A">
        <w:tblPrEx>
          <w:tblCellMar>
            <w:top w:w="0" w:type="dxa"/>
            <w:left w:w="108" w:type="dxa"/>
            <w:bottom w:w="0" w:type="dxa"/>
            <w:right w:w="108" w:type="dxa"/>
          </w:tblCellMar>
        </w:tblPrEx>
        <w:trPr>
          <w:trHeight w:val="98"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1CF17D6D">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54" w:type="dxa"/>
            <w:tcBorders>
              <w:top w:val="nil"/>
              <w:left w:val="nil"/>
              <w:bottom w:val="single" w:color="auto" w:sz="4" w:space="0"/>
              <w:right w:val="single" w:color="auto" w:sz="4" w:space="0"/>
            </w:tcBorders>
            <w:shd w:val="clear" w:color="auto" w:fill="auto"/>
            <w:noWrap/>
            <w:vAlign w:val="center"/>
          </w:tcPr>
          <w:p w14:paraId="77657405">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电力线缆</w:t>
            </w:r>
          </w:p>
        </w:tc>
        <w:tc>
          <w:tcPr>
            <w:tcW w:w="1191" w:type="dxa"/>
            <w:tcBorders>
              <w:top w:val="nil"/>
              <w:left w:val="nil"/>
              <w:bottom w:val="single" w:color="auto" w:sz="4" w:space="0"/>
              <w:right w:val="single" w:color="auto" w:sz="4" w:space="0"/>
            </w:tcBorders>
            <w:shd w:val="clear" w:color="auto" w:fill="auto"/>
            <w:noWrap/>
            <w:vAlign w:val="center"/>
          </w:tcPr>
          <w:p w14:paraId="0A20D137">
            <w:pPr>
              <w:widowControl/>
              <w:ind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5*16</w:t>
            </w:r>
            <w:r>
              <w:rPr>
                <w:rFonts w:hint="eastAsia" w:ascii="宋体" w:hAnsi="宋体" w:cs="宋体"/>
                <w:color w:val="000000"/>
                <w:kern w:val="0"/>
                <w:szCs w:val="21"/>
                <w:lang w:val="en-US" w:eastAsia="zh-CN"/>
              </w:rPr>
              <w:t>平方</w:t>
            </w:r>
          </w:p>
        </w:tc>
        <w:tc>
          <w:tcPr>
            <w:tcW w:w="903" w:type="dxa"/>
            <w:tcBorders>
              <w:top w:val="nil"/>
              <w:left w:val="nil"/>
              <w:bottom w:val="single" w:color="auto" w:sz="4" w:space="0"/>
              <w:right w:val="single" w:color="auto" w:sz="4" w:space="0"/>
            </w:tcBorders>
            <w:shd w:val="clear" w:color="auto" w:fill="auto"/>
            <w:noWrap/>
            <w:vAlign w:val="center"/>
          </w:tcPr>
          <w:p w14:paraId="2806E5F3">
            <w:pPr>
              <w:widowControl/>
              <w:ind w:firstLine="0" w:firstLineChars="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米</w:t>
            </w:r>
          </w:p>
        </w:tc>
        <w:tc>
          <w:tcPr>
            <w:tcW w:w="709" w:type="dxa"/>
            <w:tcBorders>
              <w:top w:val="nil"/>
              <w:left w:val="nil"/>
              <w:bottom w:val="single" w:color="auto" w:sz="4" w:space="0"/>
              <w:right w:val="single" w:color="auto" w:sz="4" w:space="0"/>
            </w:tcBorders>
            <w:shd w:val="clear" w:color="auto" w:fill="auto"/>
            <w:noWrap/>
            <w:vAlign w:val="center"/>
          </w:tcPr>
          <w:p w14:paraId="2BB0733F">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3023" w:type="dxa"/>
            <w:tcBorders>
              <w:top w:val="nil"/>
              <w:left w:val="nil"/>
              <w:bottom w:val="single" w:color="auto" w:sz="4" w:space="0"/>
              <w:right w:val="single" w:color="auto" w:sz="4" w:space="0"/>
            </w:tcBorders>
            <w:shd w:val="clear" w:color="auto" w:fill="auto"/>
            <w:noWrap/>
            <w:vAlign w:val="center"/>
          </w:tcPr>
          <w:p w14:paraId="2B41F4CE">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市电至UPS间100米，UPS间至机房100米</w:t>
            </w:r>
          </w:p>
        </w:tc>
      </w:tr>
      <w:tr w14:paraId="278DF5F8">
        <w:tblPrEx>
          <w:tblCellMar>
            <w:top w:w="0" w:type="dxa"/>
            <w:left w:w="108" w:type="dxa"/>
            <w:bottom w:w="0" w:type="dxa"/>
            <w:right w:w="108" w:type="dxa"/>
          </w:tblCellMar>
        </w:tblPrEx>
        <w:trPr>
          <w:trHeight w:val="90" w:hRule="atLeast"/>
        </w:trPr>
        <w:tc>
          <w:tcPr>
            <w:tcW w:w="8662" w:type="dxa"/>
            <w:gridSpan w:val="6"/>
            <w:tcBorders>
              <w:top w:val="nil"/>
              <w:left w:val="single" w:color="auto" w:sz="4" w:space="0"/>
              <w:bottom w:val="single" w:color="auto" w:sz="4" w:space="0"/>
              <w:right w:val="single" w:color="auto" w:sz="4" w:space="0"/>
            </w:tcBorders>
            <w:shd w:val="clear" w:color="auto" w:fill="auto"/>
            <w:noWrap/>
            <w:vAlign w:val="center"/>
          </w:tcPr>
          <w:p w14:paraId="2965201E">
            <w:pPr>
              <w:widowControl/>
              <w:spacing w:line="360" w:lineRule="auto"/>
              <w:ind w:firstLine="0" w:firstLineChars="0"/>
              <w:rPr>
                <w:rFonts w:hint="eastAsia" w:ascii="宋体" w:hAnsi="宋体" w:eastAsia="宋体" w:cs="宋体"/>
                <w:color w:val="000000"/>
                <w:kern w:val="0"/>
                <w:szCs w:val="21"/>
              </w:rPr>
            </w:pPr>
            <w:r>
              <w:rPr>
                <w:rFonts w:hint="eastAsia" w:ascii="宋体" w:hAnsi="宋体" w:cs="宋体"/>
                <w:color w:val="000000"/>
                <w:kern w:val="0"/>
                <w:szCs w:val="21"/>
              </w:rPr>
              <w:t>机房新增部分：</w:t>
            </w:r>
          </w:p>
        </w:tc>
      </w:tr>
      <w:tr w14:paraId="0F20BD8A">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0C21E11F">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54" w:type="dxa"/>
            <w:tcBorders>
              <w:top w:val="nil"/>
              <w:left w:val="nil"/>
              <w:bottom w:val="single" w:color="auto" w:sz="4" w:space="0"/>
              <w:right w:val="single" w:color="auto" w:sz="4" w:space="0"/>
            </w:tcBorders>
            <w:shd w:val="clear" w:color="auto" w:fill="auto"/>
            <w:noWrap/>
            <w:vAlign w:val="center"/>
          </w:tcPr>
          <w:p w14:paraId="0AC61451">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服务器机柜</w:t>
            </w:r>
          </w:p>
        </w:tc>
        <w:tc>
          <w:tcPr>
            <w:tcW w:w="1191" w:type="dxa"/>
            <w:tcBorders>
              <w:top w:val="nil"/>
              <w:left w:val="nil"/>
              <w:bottom w:val="single" w:color="auto" w:sz="4" w:space="0"/>
              <w:right w:val="single" w:color="auto" w:sz="4" w:space="0"/>
            </w:tcBorders>
            <w:shd w:val="clear" w:color="auto" w:fill="auto"/>
            <w:noWrap/>
            <w:vAlign w:val="center"/>
          </w:tcPr>
          <w:p w14:paraId="6C0627C9">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903" w:type="dxa"/>
            <w:tcBorders>
              <w:top w:val="nil"/>
              <w:left w:val="nil"/>
              <w:bottom w:val="single" w:color="auto" w:sz="4" w:space="0"/>
              <w:right w:val="single" w:color="auto" w:sz="4" w:space="0"/>
            </w:tcBorders>
            <w:shd w:val="clear" w:color="auto" w:fill="auto"/>
            <w:noWrap/>
            <w:vAlign w:val="center"/>
          </w:tcPr>
          <w:p w14:paraId="43314B59">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709" w:type="dxa"/>
            <w:tcBorders>
              <w:top w:val="nil"/>
              <w:left w:val="nil"/>
              <w:bottom w:val="single" w:color="auto" w:sz="4" w:space="0"/>
              <w:right w:val="single" w:color="auto" w:sz="4" w:space="0"/>
            </w:tcBorders>
            <w:shd w:val="clear" w:color="auto" w:fill="auto"/>
            <w:noWrap/>
            <w:vAlign w:val="center"/>
          </w:tcPr>
          <w:p w14:paraId="55245C96">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023" w:type="dxa"/>
            <w:tcBorders>
              <w:top w:val="nil"/>
              <w:left w:val="nil"/>
              <w:bottom w:val="single" w:color="auto" w:sz="4" w:space="0"/>
              <w:right w:val="single" w:color="auto" w:sz="4" w:space="0"/>
            </w:tcBorders>
            <w:shd w:val="clear" w:color="auto" w:fill="auto"/>
            <w:noWrap/>
            <w:vAlign w:val="center"/>
          </w:tcPr>
          <w:p w14:paraId="6F00DCBA">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前门玻璃后门钢板门 含固定板3块，风扇4只，电源一套。螺丝40套  600*1200*2000 网络机柜　</w:t>
            </w:r>
          </w:p>
        </w:tc>
      </w:tr>
      <w:tr w14:paraId="06882183">
        <w:tblPrEx>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14:paraId="7614153F">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154" w:type="dxa"/>
            <w:tcBorders>
              <w:top w:val="nil"/>
              <w:left w:val="nil"/>
              <w:bottom w:val="single" w:color="auto" w:sz="4" w:space="0"/>
              <w:right w:val="single" w:color="auto" w:sz="4" w:space="0"/>
            </w:tcBorders>
            <w:shd w:val="clear" w:color="auto" w:fill="auto"/>
            <w:noWrap/>
            <w:vAlign w:val="center"/>
          </w:tcPr>
          <w:p w14:paraId="7B8001FA">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服务器PDU</w:t>
            </w:r>
          </w:p>
        </w:tc>
        <w:tc>
          <w:tcPr>
            <w:tcW w:w="1191" w:type="dxa"/>
            <w:tcBorders>
              <w:top w:val="nil"/>
              <w:left w:val="nil"/>
              <w:bottom w:val="single" w:color="auto" w:sz="4" w:space="0"/>
              <w:right w:val="single" w:color="auto" w:sz="4" w:space="0"/>
            </w:tcBorders>
            <w:shd w:val="clear" w:color="auto" w:fill="auto"/>
            <w:noWrap/>
            <w:vAlign w:val="center"/>
          </w:tcPr>
          <w:p w14:paraId="78D8C9D4">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包含线材</w:t>
            </w:r>
          </w:p>
        </w:tc>
        <w:tc>
          <w:tcPr>
            <w:tcW w:w="903" w:type="dxa"/>
            <w:tcBorders>
              <w:top w:val="nil"/>
              <w:left w:val="nil"/>
              <w:bottom w:val="single" w:color="auto" w:sz="4" w:space="0"/>
              <w:right w:val="single" w:color="auto" w:sz="4" w:space="0"/>
            </w:tcBorders>
            <w:shd w:val="clear" w:color="auto" w:fill="auto"/>
            <w:noWrap/>
            <w:vAlign w:val="center"/>
          </w:tcPr>
          <w:p w14:paraId="2FC3CD84">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709" w:type="dxa"/>
            <w:tcBorders>
              <w:top w:val="nil"/>
              <w:left w:val="nil"/>
              <w:bottom w:val="single" w:color="auto" w:sz="4" w:space="0"/>
              <w:right w:val="single" w:color="auto" w:sz="4" w:space="0"/>
            </w:tcBorders>
            <w:shd w:val="clear" w:color="auto" w:fill="auto"/>
            <w:noWrap/>
            <w:vAlign w:val="center"/>
          </w:tcPr>
          <w:p w14:paraId="05B01267">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023" w:type="dxa"/>
            <w:tcBorders>
              <w:top w:val="nil"/>
              <w:left w:val="nil"/>
              <w:bottom w:val="single" w:color="auto" w:sz="4" w:space="0"/>
              <w:right w:val="single" w:color="auto" w:sz="4" w:space="0"/>
            </w:tcBorders>
            <w:shd w:val="clear" w:color="auto" w:fill="auto"/>
            <w:noWrap/>
            <w:vAlign w:val="center"/>
          </w:tcPr>
          <w:p w14:paraId="4EBEBDE7">
            <w:pPr>
              <w:widowControl/>
              <w:spacing w:line="360" w:lineRule="auto"/>
              <w:ind w:firstLine="0" w:firstLineChars="0"/>
              <w:jc w:val="center"/>
              <w:rPr>
                <w:rFonts w:hint="eastAsia" w:ascii="宋体" w:hAnsi="宋体" w:cs="宋体"/>
                <w:color w:val="000000"/>
                <w:kern w:val="0"/>
                <w:szCs w:val="21"/>
              </w:rPr>
            </w:pPr>
            <w:r>
              <w:rPr>
                <w:rFonts w:hint="eastAsia" w:ascii="宋体" w:hAnsi="宋体" w:cs="宋体"/>
                <w:color w:val="000000"/>
                <w:kern w:val="0"/>
                <w:szCs w:val="21"/>
              </w:rPr>
              <w:t>　</w:t>
            </w:r>
          </w:p>
        </w:tc>
      </w:tr>
    </w:tbl>
    <w:p w14:paraId="1F5C4AE7">
      <w:pPr>
        <w:adjustRightInd w:val="0"/>
        <w:spacing w:line="360" w:lineRule="auto"/>
        <w:ind w:firstLine="0" w:firstLineChars="0"/>
        <w:rPr>
          <w:rFonts w:hint="eastAsia" w:ascii="宋体" w:hAnsi="宋体" w:eastAsia="宋体" w:cs="宋体"/>
        </w:rPr>
      </w:pPr>
    </w:p>
    <w:p w14:paraId="75AC9CF3">
      <w:pPr>
        <w:adjustRightInd w:val="0"/>
        <w:spacing w:line="360" w:lineRule="auto"/>
        <w:ind w:firstLine="0" w:firstLineChars="0"/>
        <w:rPr>
          <w:rFonts w:hint="eastAsia" w:ascii="宋体" w:hAnsi="宋体" w:eastAsia="宋体" w:cs="宋体"/>
        </w:rPr>
      </w:pPr>
      <w:r>
        <w:rPr>
          <w:rFonts w:hint="eastAsia" w:ascii="宋体" w:hAnsi="宋体" w:eastAsia="宋体" w:cs="宋体"/>
        </w:rPr>
        <w:t>2.3、网络改造及相关设备冗余扩容建设</w:t>
      </w:r>
      <w:r>
        <w:rPr>
          <w:rFonts w:hint="eastAsia"/>
        </w:rPr>
        <w:t>标准</w:t>
      </w:r>
      <w:r>
        <w:rPr>
          <w:rFonts w:hint="eastAsia" w:ascii="宋体" w:hAnsi="宋体" w:eastAsia="宋体" w:cs="宋体"/>
        </w:rPr>
        <w:t>：</w:t>
      </w:r>
    </w:p>
    <w:p w14:paraId="4ACFEBFC">
      <w:pPr>
        <w:adjustRightInd w:val="0"/>
        <w:spacing w:line="360" w:lineRule="auto"/>
        <w:ind w:firstLine="0" w:firstLineChars="0"/>
        <w:rPr>
          <w:rFonts w:hint="eastAsia" w:ascii="宋体" w:hAnsi="宋体" w:eastAsia="宋体" w:cs="宋体"/>
        </w:rPr>
      </w:pPr>
      <w:r>
        <w:rPr>
          <w:rFonts w:hint="eastAsia" w:ascii="宋体" w:hAnsi="宋体" w:eastAsia="宋体" w:cs="宋体"/>
        </w:rPr>
        <w:t>防火墙建设需求标准:</w:t>
      </w:r>
    </w:p>
    <w:tbl>
      <w:tblPr>
        <w:tblStyle w:val="62"/>
        <w:tblW w:w="8590" w:type="dxa"/>
        <w:tblInd w:w="-3" w:type="dxa"/>
        <w:tblLayout w:type="fixed"/>
        <w:tblCellMar>
          <w:top w:w="0" w:type="dxa"/>
          <w:left w:w="108" w:type="dxa"/>
          <w:bottom w:w="0" w:type="dxa"/>
          <w:right w:w="108" w:type="dxa"/>
        </w:tblCellMar>
      </w:tblPr>
      <w:tblGrid>
        <w:gridCol w:w="1170"/>
        <w:gridCol w:w="1170"/>
        <w:gridCol w:w="6250"/>
      </w:tblGrid>
      <w:tr w14:paraId="592B7150">
        <w:tblPrEx>
          <w:tblCellMar>
            <w:top w:w="0" w:type="dxa"/>
            <w:left w:w="108" w:type="dxa"/>
            <w:bottom w:w="0" w:type="dxa"/>
            <w:right w:w="108" w:type="dxa"/>
          </w:tblCellMar>
        </w:tblPrEx>
        <w:trPr>
          <w:trHeight w:val="30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665">
            <w:pPr>
              <w:spacing w:line="360" w:lineRule="auto"/>
              <w:ind w:firstLine="0" w:firstLineChars="0"/>
              <w:rPr>
                <w:rFonts w:hint="eastAsia" w:ascii="宋体" w:hAnsi="宋体"/>
                <w:b/>
                <w:bCs/>
                <w:szCs w:val="21"/>
              </w:rPr>
            </w:pPr>
            <w:r>
              <w:rPr>
                <w:rFonts w:hint="eastAsia" w:ascii="宋体" w:hAnsi="宋体"/>
                <w:b/>
                <w:bCs/>
                <w:szCs w:val="21"/>
              </w:rPr>
              <w:t>指标项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3DFC">
            <w:pPr>
              <w:spacing w:line="360" w:lineRule="auto"/>
              <w:ind w:firstLine="0" w:firstLineChars="0"/>
              <w:rPr>
                <w:rFonts w:hint="eastAsia" w:ascii="宋体" w:hAnsi="宋体"/>
                <w:b/>
                <w:bCs/>
                <w:szCs w:val="21"/>
              </w:rPr>
            </w:pPr>
            <w:r>
              <w:rPr>
                <w:rFonts w:ascii="宋体" w:hAnsi="宋体"/>
                <w:b/>
                <w:bCs/>
                <w:szCs w:val="21"/>
              </w:rPr>
              <w:t>功能项</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B65B">
            <w:pPr>
              <w:spacing w:line="360" w:lineRule="auto"/>
              <w:ind w:firstLine="0" w:firstLineChars="0"/>
              <w:rPr>
                <w:rFonts w:hint="eastAsia" w:ascii="宋体" w:hAnsi="宋体"/>
                <w:b/>
                <w:bCs/>
                <w:szCs w:val="21"/>
              </w:rPr>
            </w:pPr>
            <w:r>
              <w:rPr>
                <w:rFonts w:ascii="宋体" w:hAnsi="宋体"/>
                <w:b/>
                <w:bCs/>
                <w:szCs w:val="21"/>
              </w:rPr>
              <w:t>功能要求说明</w:t>
            </w:r>
          </w:p>
        </w:tc>
      </w:tr>
      <w:tr w14:paraId="7953246B">
        <w:tblPrEx>
          <w:tblCellMar>
            <w:top w:w="0" w:type="dxa"/>
            <w:left w:w="108" w:type="dxa"/>
            <w:bottom w:w="0" w:type="dxa"/>
            <w:right w:w="108" w:type="dxa"/>
          </w:tblCellMar>
        </w:tblPrEx>
        <w:trPr>
          <w:trHeight w:val="90" w:hRule="atLeast"/>
        </w:trPr>
        <w:tc>
          <w:tcPr>
            <w:tcW w:w="1170" w:type="dxa"/>
            <w:vMerge w:val="restart"/>
            <w:tcBorders>
              <w:top w:val="single" w:color="000000" w:sz="4" w:space="0"/>
              <w:left w:val="single" w:color="000000" w:sz="4" w:space="0"/>
              <w:right w:val="single" w:color="000000" w:sz="4" w:space="0"/>
            </w:tcBorders>
            <w:shd w:val="clear" w:color="auto" w:fill="auto"/>
            <w:vAlign w:val="center"/>
          </w:tcPr>
          <w:p w14:paraId="72A6E30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682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产品架构要求</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11B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★产品采用自主知识产权的“高性能多核并行安全操作系统”，需提供国家版权局出具关于“多核并行安全操作系统”的软件著作权证书。</w:t>
            </w:r>
          </w:p>
        </w:tc>
      </w:tr>
      <w:tr w14:paraId="35649D63">
        <w:tblPrEx>
          <w:tblCellMar>
            <w:top w:w="0" w:type="dxa"/>
            <w:left w:w="108" w:type="dxa"/>
            <w:bottom w:w="0" w:type="dxa"/>
            <w:right w:w="108" w:type="dxa"/>
          </w:tblCellMar>
        </w:tblPrEx>
        <w:trPr>
          <w:trHeight w:val="90" w:hRule="atLeast"/>
        </w:trPr>
        <w:tc>
          <w:tcPr>
            <w:tcW w:w="1170" w:type="dxa"/>
            <w:vMerge w:val="continue"/>
            <w:tcBorders>
              <w:left w:val="single" w:color="000000" w:sz="4" w:space="0"/>
              <w:right w:val="single" w:color="000000" w:sz="4" w:space="0"/>
            </w:tcBorders>
            <w:shd w:val="clear" w:color="auto" w:fill="auto"/>
            <w:vAlign w:val="center"/>
          </w:tcPr>
          <w:p w14:paraId="05A90ACB">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D33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硬件规格要求</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5A5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★性能参数：网络层吞吐量≥4G，应用层吞吐量≥2G，防病毒吞吐量≥600M，IPS吞吐量≥600M，全威胁吞吐量≥450M，并发连接数≥200万，HTTP新建连接数≥6万，硬件参数：规格：1U，内存大小≥4G，硬盘容量≥128G SSD，电源：单电源，接口≥8千兆电口+2千兆光口SFP（含光模块和光纤线）。</w:t>
            </w:r>
          </w:p>
        </w:tc>
      </w:tr>
      <w:tr w14:paraId="056F3BC2">
        <w:tblPrEx>
          <w:tblCellMar>
            <w:top w:w="0" w:type="dxa"/>
            <w:left w:w="108" w:type="dxa"/>
            <w:bottom w:w="0" w:type="dxa"/>
            <w:right w:w="108" w:type="dxa"/>
          </w:tblCellMar>
        </w:tblPrEx>
        <w:trPr>
          <w:trHeight w:val="90" w:hRule="atLeast"/>
        </w:trPr>
        <w:tc>
          <w:tcPr>
            <w:tcW w:w="1170" w:type="dxa"/>
            <w:vMerge w:val="continue"/>
            <w:tcBorders>
              <w:left w:val="single" w:color="000000" w:sz="4" w:space="0"/>
              <w:bottom w:val="single" w:color="000000" w:sz="4" w:space="0"/>
              <w:right w:val="single" w:color="000000" w:sz="4" w:space="0"/>
            </w:tcBorders>
            <w:shd w:val="clear" w:color="auto" w:fill="auto"/>
            <w:vAlign w:val="center"/>
          </w:tcPr>
          <w:p w14:paraId="6FF6BA6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E5C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其他要求</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6C6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不少于3年软件升级和产品质保。</w:t>
            </w:r>
          </w:p>
        </w:tc>
      </w:tr>
      <w:tr w14:paraId="01E45A9A">
        <w:tblPrEx>
          <w:tblCellMar>
            <w:top w:w="0" w:type="dxa"/>
            <w:left w:w="108" w:type="dxa"/>
            <w:bottom w:w="0" w:type="dxa"/>
            <w:right w:w="108"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258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性能要求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20F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工作模式</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0EF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产品支持路由模式、透明模式、虚拟网线模式、旁路镜像模式等多种部署方式。</w:t>
            </w:r>
          </w:p>
        </w:tc>
      </w:tr>
      <w:tr w14:paraId="6B0523B5">
        <w:tblPrEx>
          <w:tblCellMar>
            <w:top w:w="0" w:type="dxa"/>
            <w:left w:w="108" w:type="dxa"/>
            <w:bottom w:w="0" w:type="dxa"/>
            <w:right w:w="108" w:type="dxa"/>
          </w:tblCellMar>
        </w:tblPrEx>
        <w:trPr>
          <w:trHeight w:val="90" w:hRule="atLeast"/>
        </w:trPr>
        <w:tc>
          <w:tcPr>
            <w:tcW w:w="1170" w:type="dxa"/>
            <w:vMerge w:val="restart"/>
            <w:tcBorders>
              <w:top w:val="single" w:color="000000" w:sz="4" w:space="0"/>
              <w:left w:val="single" w:color="000000" w:sz="4" w:space="0"/>
              <w:right w:val="single" w:color="000000" w:sz="4" w:space="0"/>
            </w:tcBorders>
            <w:shd w:val="clear" w:color="auto" w:fill="auto"/>
            <w:vAlign w:val="center"/>
          </w:tcPr>
          <w:p w14:paraId="307467E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542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硬件一虚多</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EB4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产品支持虚拟防火墙功能，支持虚拟防火墙的创建和删除，具备独立的接口、会话管理、应用控制策略、NAT等资源。</w:t>
            </w:r>
          </w:p>
        </w:tc>
      </w:tr>
      <w:tr w14:paraId="6713260E">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7C3B3">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881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链路状态检测</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A61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★产品支持链路连通性检查功能，支持基于3种以上协议对链路连通性进行探测，探测协议至少包括DNS解析、ARP探测、PING和BFD等方式。（</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提供产品功能截图证明）。</w:t>
            </w:r>
          </w:p>
        </w:tc>
      </w:tr>
      <w:tr w14:paraId="17C75194">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7CA4A">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8659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路由功能</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B44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产品支持静态路由、策略路由和多播路由协议，并支持BGP、RIP、OSPF等动态路由协议。</w:t>
            </w:r>
          </w:p>
        </w:tc>
      </w:tr>
      <w:tr w14:paraId="7263933B">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544F">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C47B8">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42B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产品支持路由类型、协议类型、网络对象、国家地区等条件进行自动选路的策略路由，支持不少于3种的调度算法，至少包括带宽比例、加权流量、线路优先等。</w:t>
            </w:r>
          </w:p>
        </w:tc>
      </w:tr>
      <w:tr w14:paraId="5F8C0B3A">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4647">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8F7C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NAT功能</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22A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产品支持多对一、一对多和一对一等多种地址转换方式。</w:t>
            </w:r>
          </w:p>
        </w:tc>
      </w:tr>
      <w:tr w14:paraId="782786FE">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7908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F75F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403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产品支持NAT44 、NAT46、NAT64、NAT66地址转换方式。</w:t>
            </w:r>
          </w:p>
        </w:tc>
      </w:tr>
      <w:tr w14:paraId="4D173FA4">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2AD65">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2BD8F">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BD7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支持NAT穿透技术ALG，支持FTP、TFTP、SQLNET、PPTP、RTSP、SIP、H.323等协议。</w:t>
            </w:r>
          </w:p>
        </w:tc>
      </w:tr>
      <w:tr w14:paraId="3F40311A">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1666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124A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IPv6</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E1D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产品支持IPv4/IPv6双栈工作模式，以适应IPv6发展趋势。</w:t>
            </w:r>
          </w:p>
        </w:tc>
      </w:tr>
      <w:tr w14:paraId="61FDB5A7">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8822C">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68FA7">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BFF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产品支持基于应用、服务、时间、域名、IPv6对象等维度的访问控制。</w:t>
            </w:r>
          </w:p>
        </w:tc>
      </w:tr>
      <w:tr w14:paraId="774A05C6">
        <w:tblPrEx>
          <w:tblCellMar>
            <w:top w:w="0" w:type="dxa"/>
            <w:left w:w="108" w:type="dxa"/>
            <w:bottom w:w="0" w:type="dxa"/>
            <w:right w:w="108" w:type="dxa"/>
          </w:tblCellMar>
        </w:tblPrEx>
        <w:trPr>
          <w:trHeight w:val="9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EA27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应用控制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283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应用识别</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B68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★产品支持对不少于9000种应用的识别和控制，应用类型包括游戏、购物、图书百科、工作招聘、P2P下载、聊天工具、旅游出行、股票软件等类型应用进行检测与控制。（</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提供产品功能截图证明和</w:t>
            </w:r>
            <w:r>
              <w:rPr>
                <w:rFonts w:hint="eastAsia" w:ascii="宋体" w:hAnsi="宋体" w:eastAsia="宋体" w:cs="宋体"/>
                <w:szCs w:val="21"/>
                <w:lang w:val="en-US" w:eastAsia="zh-CN"/>
              </w:rPr>
              <w:t>第三方具有国家认可资质的检测机构出具的检测报告</w:t>
            </w:r>
            <w:r>
              <w:rPr>
                <w:rFonts w:hint="eastAsia" w:ascii="宋体" w:hAnsi="宋体" w:eastAsia="宋体" w:cs="宋体"/>
                <w:szCs w:val="21"/>
                <w:lang w:val="zh-CN"/>
              </w:rPr>
              <w:t>）</w:t>
            </w:r>
          </w:p>
        </w:tc>
      </w:tr>
      <w:tr w14:paraId="456932F1">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C67A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582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流量控制</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300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产品支持多维度流量控制功能，支持基于IP地址、用户、应用、时间设置流量控制策略，保证关键业务带宽日常需求。</w:t>
            </w:r>
          </w:p>
        </w:tc>
      </w:tr>
      <w:tr w14:paraId="1B27552C">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41C7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138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会话控制</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4B9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产品支持基于IP对象的会话控制策略，实现并发和新建连接数的合理限制。</w:t>
            </w:r>
          </w:p>
        </w:tc>
      </w:tr>
      <w:tr w14:paraId="589A31AF">
        <w:tblPrEx>
          <w:tblCellMar>
            <w:top w:w="0" w:type="dxa"/>
            <w:left w:w="108" w:type="dxa"/>
            <w:bottom w:w="0" w:type="dxa"/>
            <w:right w:w="108"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46F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访问控制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0EC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访问控制策略</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0D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产品支持基于网络区域、网络对象、MAC地址、服务、应用、域名等维度进行访问控制策略设置。</w:t>
            </w:r>
          </w:p>
        </w:tc>
      </w:tr>
      <w:tr w14:paraId="43F05BDD">
        <w:tblPrEx>
          <w:tblCellMar>
            <w:top w:w="0" w:type="dxa"/>
            <w:left w:w="108" w:type="dxa"/>
            <w:bottom w:w="0" w:type="dxa"/>
            <w:right w:w="108" w:type="dxa"/>
          </w:tblCellMar>
        </w:tblPrEx>
        <w:trPr>
          <w:trHeight w:val="9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0E5A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安全防护</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74B2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DDoS防护</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F67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产品支持对ICMP、UDP、DNS、SYN等协议进行DDOS防护。</w:t>
            </w:r>
          </w:p>
        </w:tc>
      </w:tr>
      <w:tr w14:paraId="33BC94CB">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0F1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BDA96">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D6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产品支持异常数据包攻击防御，防护类型包括IP数据块分片传输防护、Teardrop攻击防护、Smurf攻击防护、Land攻击防护、WinNuke攻击防护等攻击类型。</w:t>
            </w:r>
          </w:p>
        </w:tc>
      </w:tr>
      <w:tr w14:paraId="39571440">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50CCE">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2B9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URL分类过滤</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9AF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产品支持管控非法、违规网站的访问行为，具备海量的URL分类库。</w:t>
            </w:r>
          </w:p>
        </w:tc>
      </w:tr>
      <w:tr w14:paraId="76114C67">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0A906">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39D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文件过滤</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1E8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产品支持基于文件传输方式、文件类型等维度的管控策略配置。</w:t>
            </w:r>
          </w:p>
        </w:tc>
      </w:tr>
      <w:tr w14:paraId="57BE5B62">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D0375">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52AE">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加密流量安全防护</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B96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产品支持https解密功能。</w:t>
            </w:r>
          </w:p>
        </w:tc>
      </w:tr>
      <w:tr w14:paraId="24260E93">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4B1B2">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1C42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入侵攻击防御</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880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产品内置不低于16000种漏洞规则，同时支持在控制台界面通过漏洞ID、漏洞名称、危险等级、漏洞CVE标识、漏洞描述等条件查询漏洞特征信息，支持用户自定义IPS规则。</w:t>
            </w:r>
          </w:p>
        </w:tc>
      </w:tr>
      <w:tr w14:paraId="3C20A02E">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9EB8D">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E6B6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EB9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产品支持基于IMAP、FTP、RDP、VNC、SSH、TELNET、ORACLE、MYSQL、MSSQL等应用协议进行深度检测与防护。</w:t>
            </w:r>
          </w:p>
        </w:tc>
      </w:tr>
      <w:tr w14:paraId="5C80377C">
        <w:tblPrEx>
          <w:tblCellMar>
            <w:top w:w="0" w:type="dxa"/>
            <w:left w:w="108" w:type="dxa"/>
            <w:bottom w:w="0" w:type="dxa"/>
            <w:right w:w="108" w:type="dxa"/>
          </w:tblCellMar>
        </w:tblPrEx>
        <w:trPr>
          <w:trHeight w:val="434"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DCC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A9C0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53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★产品支持僵尸主机检测功能，产品内置僵尸网络特征库超过128万种，可识别主机的异常外联行为。（</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提供产品功能截图证明和</w:t>
            </w:r>
            <w:r>
              <w:rPr>
                <w:rFonts w:hint="eastAsia" w:ascii="宋体" w:hAnsi="宋体" w:eastAsia="宋体" w:cs="宋体"/>
                <w:szCs w:val="21"/>
                <w:lang w:val="en-US" w:eastAsia="zh-CN"/>
              </w:rPr>
              <w:t>第三方具有国家认可资质的检测机构出具的检测报告</w:t>
            </w:r>
            <w:r>
              <w:rPr>
                <w:rFonts w:hint="eastAsia" w:ascii="宋体" w:hAnsi="宋体" w:eastAsia="宋体" w:cs="宋体"/>
                <w:szCs w:val="21"/>
                <w:lang w:val="zh-CN"/>
              </w:rPr>
              <w:t>）</w:t>
            </w:r>
          </w:p>
        </w:tc>
      </w:tr>
      <w:tr w14:paraId="73E8BBE4">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89F5">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3C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账号安全</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504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独立的账号安全防护模块，具备事前账号脆弱性、事中账号爆破、事后账号失陷的全生命周期安全防护，在设备界面可以详细展示账号安全相关信息，包括风险业务、风险等级、存在账号入口、存在弱口令、遭受口令爆破、异常登录账号登。</w:t>
            </w:r>
          </w:p>
        </w:tc>
      </w:tr>
      <w:tr w14:paraId="121CDC7D">
        <w:tblPrEx>
          <w:tblCellMar>
            <w:top w:w="0" w:type="dxa"/>
            <w:left w:w="108" w:type="dxa"/>
            <w:bottom w:w="0" w:type="dxa"/>
            <w:right w:w="108" w:type="dxa"/>
          </w:tblCellMar>
        </w:tblPrEx>
        <w:trPr>
          <w:trHeight w:val="9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D07D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安全策略管理</w:t>
            </w:r>
          </w:p>
        </w:tc>
        <w:tc>
          <w:tcPr>
            <w:tcW w:w="1170" w:type="dxa"/>
            <w:tcBorders>
              <w:top w:val="single" w:color="000000" w:sz="4" w:space="0"/>
              <w:left w:val="single" w:color="000000" w:sz="4" w:space="0"/>
              <w:right w:val="single" w:color="000000" w:sz="4" w:space="0"/>
            </w:tcBorders>
            <w:shd w:val="clear" w:color="auto" w:fill="auto"/>
            <w:noWrap/>
            <w:vAlign w:val="center"/>
          </w:tcPr>
          <w:p w14:paraId="51A1F60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策略有效性分析</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61B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产品支持安全策略有效性分析功能，分析内容至少包括策略冗余分析、策略匹配分析、风险端口风险等内容，提供安全策略优化建议。</w:t>
            </w:r>
          </w:p>
        </w:tc>
      </w:tr>
      <w:tr w14:paraId="755D839E">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3588F">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6C2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策略生命周期管理</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AD9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产品支持策略生命周期管理功能，支持对安全策略修改的时间、原因、变更类型进行统一管理，便于策略的运维与管理。</w:t>
            </w:r>
          </w:p>
        </w:tc>
      </w:tr>
      <w:tr w14:paraId="6CC96B35">
        <w:tblPrEx>
          <w:tblCellMar>
            <w:top w:w="0" w:type="dxa"/>
            <w:left w:w="108" w:type="dxa"/>
            <w:bottom w:w="0" w:type="dxa"/>
            <w:right w:w="108" w:type="dxa"/>
          </w:tblCellMar>
        </w:tblPrEx>
        <w:trPr>
          <w:trHeight w:val="9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F2C7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高可用性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035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双机部署</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CAD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产品支持A|A、A|S两种双机模式部署。</w:t>
            </w:r>
          </w:p>
        </w:tc>
      </w:tr>
      <w:tr w14:paraId="0BC666E3">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2B1D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3F3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双机切换</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2C3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★当主机故障时，双机切换时不丢包，并可实现双机部署下升级不断网。（</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提供产品功能截图证明</w:t>
            </w:r>
            <w:r>
              <w:rPr>
                <w:rFonts w:hint="eastAsia" w:ascii="宋体" w:hAnsi="宋体" w:eastAsia="宋体" w:cs="宋体"/>
                <w:szCs w:val="21"/>
                <w:lang w:val="en-US" w:eastAsia="zh-CN"/>
              </w:rPr>
              <w:t>以及第三方具有国家认可资质的检测机构出具的检测报告</w:t>
            </w:r>
            <w:r>
              <w:rPr>
                <w:rFonts w:hint="eastAsia" w:ascii="宋体" w:hAnsi="宋体" w:eastAsia="宋体" w:cs="宋体"/>
                <w:szCs w:val="21"/>
                <w:lang w:val="zh-CN"/>
              </w:rPr>
              <w:t>）</w:t>
            </w:r>
          </w:p>
        </w:tc>
      </w:tr>
      <w:tr w14:paraId="2B4B9BB5">
        <w:tblPrEx>
          <w:tblCellMar>
            <w:top w:w="0" w:type="dxa"/>
            <w:left w:w="108" w:type="dxa"/>
            <w:bottom w:w="0" w:type="dxa"/>
            <w:right w:w="108" w:type="dxa"/>
          </w:tblCellMar>
        </w:tblPrEx>
        <w:trPr>
          <w:trHeight w:val="9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5DB8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安全运维管理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5AF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管理方式</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049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产品支持Web管理、串口管理、SSH管理等多种不同方式。（</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提供产品功能截图证明）</w:t>
            </w:r>
          </w:p>
        </w:tc>
      </w:tr>
      <w:tr w14:paraId="46815307">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129BA">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762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管理员账号权限管控</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594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产品支持三权分立功能，根据管理员权限分为安全管理员、审计员、系统管理员三种角色。</w:t>
            </w:r>
          </w:p>
        </w:tc>
      </w:tr>
      <w:tr w14:paraId="2957BD8F">
        <w:tblPrEx>
          <w:tblCellMar>
            <w:top w:w="0" w:type="dxa"/>
            <w:left w:w="108" w:type="dxa"/>
            <w:bottom w:w="0" w:type="dxa"/>
            <w:right w:w="108" w:type="dxa"/>
          </w:tblCellMar>
        </w:tblPrEx>
        <w:trPr>
          <w:trHeight w:val="9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B1EC3">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1C4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双因素认证</w:t>
            </w:r>
          </w:p>
        </w:tc>
        <w:tc>
          <w:tcPr>
            <w:tcW w:w="6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5F7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产品支持管理员双因素认证功能，用户通过用户名/密码和Key等不同方式登陆产品管理界面。</w:t>
            </w:r>
          </w:p>
        </w:tc>
      </w:tr>
      <w:tr w14:paraId="15BE3A9C">
        <w:tblPrEx>
          <w:tblCellMar>
            <w:top w:w="0" w:type="dxa"/>
            <w:left w:w="108" w:type="dxa"/>
            <w:bottom w:w="0" w:type="dxa"/>
            <w:right w:w="108" w:type="dxa"/>
          </w:tblCellMar>
        </w:tblPrEx>
        <w:trPr>
          <w:trHeight w:val="304" w:hRule="atLeast"/>
        </w:trPr>
        <w:tc>
          <w:tcPr>
            <w:tcW w:w="117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60FD75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70" w:type="dxa"/>
            <w:tcBorders>
              <w:top w:val="single" w:color="000000" w:sz="4" w:space="0"/>
              <w:left w:val="single" w:color="000000" w:sz="4" w:space="0"/>
              <w:bottom w:val="single" w:color="auto" w:sz="4" w:space="0"/>
              <w:right w:val="single" w:color="000000" w:sz="4" w:space="0"/>
            </w:tcBorders>
            <w:shd w:val="clear" w:color="auto" w:fill="auto"/>
            <w:vAlign w:val="center"/>
          </w:tcPr>
          <w:p w14:paraId="48C3F30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终端安全软件联动</w:t>
            </w:r>
          </w:p>
        </w:tc>
        <w:tc>
          <w:tcPr>
            <w:tcW w:w="62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4F1AA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支持与终端安全软件联动管理，在防火墙产品完成终端安全策略设置和内网终端安全软件的统一管理，支持检测到某主机有僵木蠕毒的C2通信时，手动或自动化将恶意域名信息下发到终端安全软件做C2通信的封锁遏制，支持管理员下发一键隔离指令，对终端恶意文件进行隔离。（</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提供产品功能截图证明）</w:t>
            </w:r>
          </w:p>
        </w:tc>
      </w:tr>
      <w:tr w14:paraId="72BB9A1E">
        <w:tblPrEx>
          <w:tblCellMar>
            <w:top w:w="0" w:type="dxa"/>
            <w:left w:w="108" w:type="dxa"/>
            <w:bottom w:w="0" w:type="dxa"/>
            <w:right w:w="108" w:type="dxa"/>
          </w:tblCellMar>
        </w:tblPrEx>
        <w:trPr>
          <w:trHeight w:val="941" w:hRule="atLeast"/>
        </w:trPr>
        <w:tc>
          <w:tcPr>
            <w:tcW w:w="23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FA1B2F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eastAsia="zh-CN"/>
              </w:rPr>
              <w:t>其他要求</w:t>
            </w:r>
          </w:p>
        </w:tc>
        <w:tc>
          <w:tcPr>
            <w:tcW w:w="6250" w:type="dxa"/>
            <w:tcBorders>
              <w:top w:val="single" w:color="auto" w:sz="4" w:space="0"/>
              <w:left w:val="single" w:color="000000" w:sz="4" w:space="0"/>
              <w:bottom w:val="single" w:color="auto" w:sz="4" w:space="0"/>
              <w:right w:val="single" w:color="000000" w:sz="4" w:space="0"/>
            </w:tcBorders>
            <w:shd w:val="clear" w:color="auto" w:fill="auto"/>
            <w:vAlign w:val="center"/>
          </w:tcPr>
          <w:p w14:paraId="50CCC2F2">
            <w:pPr>
              <w:numPr>
                <w:ilvl w:val="-1"/>
                <w:numId w:val="0"/>
              </w:numPr>
              <w:autoSpaceDE w:val="0"/>
              <w:autoSpaceDN w:val="0"/>
              <w:snapToGrid w:val="0"/>
              <w:spacing w:line="360" w:lineRule="auto"/>
              <w:ind w:left="0" w:firstLine="0" w:firstLineChars="0"/>
              <w:jc w:val="left"/>
              <w:rPr>
                <w:rFonts w:hint="eastAsia" w:ascii="宋体" w:hAnsi="宋体" w:eastAsia="宋体" w:cs="宋体"/>
                <w:szCs w:val="21"/>
                <w:lang w:val="zh-CN"/>
              </w:rPr>
            </w:pPr>
            <w:r>
              <w:rPr>
                <w:rFonts w:hint="eastAsia" w:ascii="宋体" w:hAnsi="宋体" w:eastAsia="宋体" w:cs="宋体"/>
                <w:szCs w:val="21"/>
                <w:lang w:val="zh-CN"/>
              </w:rPr>
              <w:t>★与现有的深信服防火墙做双活或提供两台同性能的产品。</w:t>
            </w:r>
          </w:p>
          <w:p w14:paraId="03DF0B0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1、</w:t>
            </w:r>
            <w:r>
              <w:rPr>
                <w:rFonts w:hint="eastAsia" w:ascii="宋体" w:hAnsi="宋体" w:cs="宋体"/>
                <w:szCs w:val="21"/>
                <w:lang w:val="zh-CN"/>
              </w:rPr>
              <w:t>为保障用户利益，对于中标单位提供虚假参数强行中标的行为，经测试查实后根据相关政府采购法规执行，并按相关要求赔偿采购方相关损失。</w:t>
            </w:r>
          </w:p>
          <w:p w14:paraId="3549253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2、供货时，项目使用人为浙江康复医院，并能通过序列号查验，以免软件版权导致法律问题。</w:t>
            </w:r>
          </w:p>
        </w:tc>
      </w:tr>
    </w:tbl>
    <w:p w14:paraId="08BA6938">
      <w:pPr>
        <w:spacing w:line="360" w:lineRule="auto"/>
        <w:ind w:firstLine="0" w:firstLineChars="0"/>
        <w:rPr>
          <w:szCs w:val="21"/>
        </w:rPr>
      </w:pPr>
    </w:p>
    <w:p w14:paraId="7263418A">
      <w:pPr>
        <w:adjustRightInd w:val="0"/>
        <w:spacing w:line="360" w:lineRule="auto"/>
        <w:ind w:firstLine="0" w:firstLineChars="0"/>
        <w:rPr>
          <w:rFonts w:hint="eastAsia" w:ascii="宋体" w:hAnsi="宋体" w:eastAsia="宋体" w:cs="宋体"/>
          <w:szCs w:val="21"/>
        </w:rPr>
      </w:pPr>
      <w:r>
        <w:rPr>
          <w:rFonts w:hint="eastAsia" w:ascii="宋体" w:hAnsi="宋体" w:eastAsia="宋体" w:cs="宋体"/>
          <w:szCs w:val="21"/>
        </w:rPr>
        <w:t>上网行为管理建设需求标准:</w:t>
      </w:r>
    </w:p>
    <w:tbl>
      <w:tblPr>
        <w:tblStyle w:val="62"/>
        <w:tblW w:w="8610"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90"/>
        <w:gridCol w:w="6260"/>
      </w:tblGrid>
      <w:tr w14:paraId="33EC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60" w:type="dxa"/>
            <w:tcBorders>
              <w:tl2br w:val="nil"/>
              <w:tr2bl w:val="nil"/>
            </w:tcBorders>
            <w:shd w:val="clear" w:color="auto" w:fill="auto"/>
            <w:vAlign w:val="center"/>
          </w:tcPr>
          <w:p w14:paraId="64D62DD0">
            <w:pPr>
              <w:spacing w:line="360" w:lineRule="auto"/>
              <w:ind w:firstLine="0" w:firstLineChars="0"/>
              <w:rPr>
                <w:rFonts w:hint="eastAsia" w:ascii="宋体" w:hAnsi="宋体" w:eastAsia="宋体"/>
                <w:b/>
                <w:bCs/>
                <w:szCs w:val="21"/>
                <w:lang w:val="zh-CN"/>
              </w:rPr>
            </w:pPr>
            <w:r>
              <w:rPr>
                <w:rFonts w:hint="eastAsia" w:ascii="宋体" w:hAnsi="宋体" w:eastAsia="宋体"/>
                <w:b/>
                <w:bCs/>
                <w:szCs w:val="21"/>
                <w:lang w:val="zh-CN"/>
              </w:rPr>
              <w:t>指标项</w:t>
            </w:r>
          </w:p>
        </w:tc>
        <w:tc>
          <w:tcPr>
            <w:tcW w:w="1190" w:type="dxa"/>
            <w:tcBorders>
              <w:tl2br w:val="nil"/>
              <w:tr2bl w:val="nil"/>
            </w:tcBorders>
            <w:shd w:val="clear" w:color="auto" w:fill="auto"/>
            <w:vAlign w:val="center"/>
          </w:tcPr>
          <w:p w14:paraId="07A866F2">
            <w:pPr>
              <w:spacing w:line="360" w:lineRule="auto"/>
              <w:ind w:firstLine="0" w:firstLineChars="0"/>
              <w:rPr>
                <w:rFonts w:hint="eastAsia" w:ascii="宋体" w:hAnsi="宋体" w:eastAsia="宋体"/>
                <w:b/>
                <w:bCs/>
                <w:szCs w:val="21"/>
                <w:lang w:val="zh-CN"/>
              </w:rPr>
            </w:pPr>
            <w:r>
              <w:rPr>
                <w:rFonts w:hint="eastAsia" w:ascii="宋体" w:hAnsi="宋体" w:eastAsia="宋体"/>
                <w:b/>
                <w:bCs/>
                <w:szCs w:val="21"/>
                <w:lang w:val="zh-CN"/>
              </w:rPr>
              <w:t>功能项</w:t>
            </w:r>
          </w:p>
        </w:tc>
        <w:tc>
          <w:tcPr>
            <w:tcW w:w="6260" w:type="dxa"/>
            <w:tcBorders>
              <w:tl2br w:val="nil"/>
              <w:tr2bl w:val="nil"/>
            </w:tcBorders>
            <w:shd w:val="clear" w:color="auto" w:fill="auto"/>
            <w:vAlign w:val="center"/>
          </w:tcPr>
          <w:p w14:paraId="62821858">
            <w:pPr>
              <w:spacing w:line="360" w:lineRule="auto"/>
              <w:ind w:firstLine="0" w:firstLineChars="0"/>
              <w:rPr>
                <w:rFonts w:hint="eastAsia" w:ascii="宋体" w:hAnsi="宋体" w:eastAsia="宋体"/>
                <w:b/>
                <w:bCs/>
                <w:szCs w:val="21"/>
                <w:lang w:val="zh-CN"/>
              </w:rPr>
            </w:pPr>
            <w:r>
              <w:rPr>
                <w:rFonts w:hint="eastAsia" w:ascii="宋体" w:hAnsi="宋体" w:eastAsia="宋体"/>
                <w:b/>
                <w:bCs/>
                <w:szCs w:val="21"/>
                <w:lang w:val="zh-CN"/>
              </w:rPr>
              <w:t>功能要求说明</w:t>
            </w:r>
          </w:p>
        </w:tc>
      </w:tr>
      <w:tr w14:paraId="26B8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211842B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产品要求</w:t>
            </w:r>
          </w:p>
        </w:tc>
        <w:tc>
          <w:tcPr>
            <w:tcW w:w="1190" w:type="dxa"/>
            <w:tcBorders>
              <w:tl2br w:val="nil"/>
              <w:tr2bl w:val="nil"/>
            </w:tcBorders>
            <w:shd w:val="clear" w:color="auto" w:fill="auto"/>
            <w:vAlign w:val="center"/>
          </w:tcPr>
          <w:p w14:paraId="3AC4B9D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硬件要求</w:t>
            </w:r>
          </w:p>
        </w:tc>
        <w:tc>
          <w:tcPr>
            <w:tcW w:w="6260" w:type="dxa"/>
            <w:tcBorders>
              <w:tl2br w:val="nil"/>
              <w:tr2bl w:val="nil"/>
            </w:tcBorders>
            <w:shd w:val="clear" w:color="auto" w:fill="auto"/>
            <w:vAlign w:val="center"/>
          </w:tcPr>
          <w:p w14:paraId="281AC9B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★内存大小≥4G，硬盘容量≥128G minisata SSD，电源：适配器，接口≥4千兆电口。</w:t>
            </w:r>
          </w:p>
        </w:tc>
      </w:tr>
      <w:tr w14:paraId="7553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F5CB618">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72C2602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性能要求</w:t>
            </w:r>
          </w:p>
        </w:tc>
        <w:tc>
          <w:tcPr>
            <w:tcW w:w="6260" w:type="dxa"/>
            <w:tcBorders>
              <w:tl2br w:val="nil"/>
              <w:tr2bl w:val="nil"/>
            </w:tcBorders>
            <w:shd w:val="clear" w:color="auto" w:fill="auto"/>
            <w:vAlign w:val="center"/>
          </w:tcPr>
          <w:p w14:paraId="25EFA32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★网络层吞吐量（大包）≥1.2Gb，应用层吞吐量≥90Mb，带宽性能≥60Mb，包转发率≥7.2Kpps，每秒新建连接数≥600，最大并发连接数≥30000。</w:t>
            </w:r>
          </w:p>
        </w:tc>
      </w:tr>
      <w:tr w14:paraId="4AC2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C346369">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20D6643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其他要求</w:t>
            </w:r>
          </w:p>
        </w:tc>
        <w:tc>
          <w:tcPr>
            <w:tcW w:w="6260" w:type="dxa"/>
            <w:tcBorders>
              <w:tl2br w:val="nil"/>
              <w:tr2bl w:val="nil"/>
            </w:tcBorders>
            <w:shd w:val="clear" w:color="auto" w:fill="auto"/>
            <w:vAlign w:val="center"/>
          </w:tcPr>
          <w:p w14:paraId="5BCFB79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不少于3年软件升级和产品质保。</w:t>
            </w:r>
          </w:p>
        </w:tc>
      </w:tr>
      <w:tr w14:paraId="3627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1A0C6E3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部署与运维管理</w:t>
            </w:r>
          </w:p>
        </w:tc>
        <w:tc>
          <w:tcPr>
            <w:tcW w:w="1190" w:type="dxa"/>
            <w:tcBorders>
              <w:tl2br w:val="nil"/>
              <w:tr2bl w:val="nil"/>
            </w:tcBorders>
            <w:shd w:val="clear" w:color="auto" w:fill="auto"/>
            <w:vAlign w:val="center"/>
          </w:tcPr>
          <w:p w14:paraId="69ED23B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工作模式</w:t>
            </w:r>
          </w:p>
        </w:tc>
        <w:tc>
          <w:tcPr>
            <w:tcW w:w="6260" w:type="dxa"/>
            <w:tcBorders>
              <w:tl2br w:val="nil"/>
              <w:tr2bl w:val="nil"/>
            </w:tcBorders>
            <w:shd w:val="clear" w:color="auto" w:fill="auto"/>
            <w:vAlign w:val="center"/>
          </w:tcPr>
          <w:p w14:paraId="497F5D3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支持路由模式、单臂模式、网桥模式、旁路模式。</w:t>
            </w:r>
          </w:p>
        </w:tc>
      </w:tr>
      <w:tr w14:paraId="08F9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9BC0BEA">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5E21BCE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多主部署</w:t>
            </w:r>
          </w:p>
        </w:tc>
        <w:tc>
          <w:tcPr>
            <w:tcW w:w="6260" w:type="dxa"/>
            <w:tcBorders>
              <w:tl2br w:val="nil"/>
              <w:tr2bl w:val="nil"/>
            </w:tcBorders>
            <w:shd w:val="clear" w:color="auto" w:fill="auto"/>
            <w:vAlign w:val="center"/>
          </w:tcPr>
          <w:p w14:paraId="4F58491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★支持两台及两台以上设备同时做主机的部署模式。（</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5C3D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5A875B2D">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15C1C27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管理方式</w:t>
            </w:r>
          </w:p>
        </w:tc>
        <w:tc>
          <w:tcPr>
            <w:tcW w:w="6260" w:type="dxa"/>
            <w:tcBorders>
              <w:tl2br w:val="nil"/>
              <w:tr2bl w:val="nil"/>
            </w:tcBorders>
            <w:shd w:val="clear" w:color="auto" w:fill="auto"/>
            <w:vAlign w:val="center"/>
          </w:tcPr>
          <w:p w14:paraId="454DFF0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设备支持Web、SSH协议，用于安全的远程管理和配置。</w:t>
            </w:r>
          </w:p>
        </w:tc>
      </w:tr>
      <w:tr w14:paraId="4104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4AA50958">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3864573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VPN组网</w:t>
            </w:r>
          </w:p>
        </w:tc>
        <w:tc>
          <w:tcPr>
            <w:tcW w:w="6260" w:type="dxa"/>
            <w:tcBorders>
              <w:tl2br w:val="nil"/>
              <w:tr2bl w:val="nil"/>
            </w:tcBorders>
            <w:shd w:val="clear" w:color="auto" w:fill="auto"/>
            <w:vAlign w:val="center"/>
          </w:tcPr>
          <w:p w14:paraId="7C721E6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支持IPSec VPN模块，支持与LDAP服务器、Radius服务器、硬件特征码绑定认证；VPN支持多线路，通过配置主备线路组和流量分配模式的多线路选路策略。</w:t>
            </w:r>
          </w:p>
        </w:tc>
      </w:tr>
      <w:tr w14:paraId="6F92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67B4946D">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15AF07E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集中管理</w:t>
            </w:r>
          </w:p>
        </w:tc>
        <w:tc>
          <w:tcPr>
            <w:tcW w:w="6260" w:type="dxa"/>
            <w:tcBorders>
              <w:tl2br w:val="nil"/>
              <w:tr2bl w:val="nil"/>
            </w:tcBorders>
            <w:shd w:val="clear" w:color="auto" w:fill="auto"/>
            <w:vAlign w:val="center"/>
          </w:tcPr>
          <w:p w14:paraId="76CE9E0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支持多台设备支持通过统一平台集中管理、集中配置等，提升运维效率。</w:t>
            </w:r>
          </w:p>
        </w:tc>
      </w:tr>
      <w:tr w14:paraId="5EE3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5A79044B">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6FA688A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性能状态</w:t>
            </w:r>
          </w:p>
        </w:tc>
        <w:tc>
          <w:tcPr>
            <w:tcW w:w="6260" w:type="dxa"/>
            <w:tcBorders>
              <w:tl2br w:val="nil"/>
              <w:tr2bl w:val="nil"/>
            </w:tcBorders>
            <w:shd w:val="clear" w:color="auto" w:fill="auto"/>
            <w:vAlign w:val="center"/>
          </w:tcPr>
          <w:p w14:paraId="62D6A0C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支持显示设备实时CPU、内存、磁盘占有率（存储）、在线用户数、系统时间、网络接口等信息。</w:t>
            </w:r>
          </w:p>
        </w:tc>
      </w:tr>
      <w:tr w14:paraId="5930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62B4DC48">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F739DA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可视化展示</w:t>
            </w:r>
          </w:p>
        </w:tc>
        <w:tc>
          <w:tcPr>
            <w:tcW w:w="6260" w:type="dxa"/>
            <w:tcBorders>
              <w:tl2br w:val="nil"/>
              <w:tr2bl w:val="nil"/>
            </w:tcBorders>
            <w:shd w:val="clear" w:color="auto" w:fill="auto"/>
            <w:vAlign w:val="center"/>
          </w:tcPr>
          <w:p w14:paraId="217323C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首页显示在线用户、流量分析、行为日志分析、应用流量排名、用户流量排名、资产类型分布、新设备发现趋势、TOP违规检查项、TOP违规用户、行为风险分析包括：泄密风险、终端接入、上网安全、系统状态、接入状态。（</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5756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275C487C">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restart"/>
            <w:tcBorders>
              <w:tl2br w:val="nil"/>
              <w:tr2bl w:val="nil"/>
            </w:tcBorders>
            <w:shd w:val="clear" w:color="auto" w:fill="auto"/>
            <w:vAlign w:val="center"/>
          </w:tcPr>
          <w:p w14:paraId="1A55940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管理员权限</w:t>
            </w:r>
          </w:p>
        </w:tc>
        <w:tc>
          <w:tcPr>
            <w:tcW w:w="6260" w:type="dxa"/>
            <w:tcBorders>
              <w:tl2br w:val="nil"/>
              <w:tr2bl w:val="nil"/>
            </w:tcBorders>
            <w:shd w:val="clear" w:color="auto" w:fill="auto"/>
            <w:vAlign w:val="center"/>
          </w:tcPr>
          <w:p w14:paraId="601D190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支持细致的管理员权限划分，包括对不同用户组的管理权限、对各种主要功能界面的配置和查看权限。</w:t>
            </w:r>
          </w:p>
        </w:tc>
      </w:tr>
      <w:tr w14:paraId="4BA1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160" w:type="dxa"/>
            <w:vMerge w:val="continue"/>
            <w:tcBorders>
              <w:tl2br w:val="nil"/>
              <w:tr2bl w:val="nil"/>
            </w:tcBorders>
            <w:shd w:val="clear" w:color="auto" w:fill="auto"/>
            <w:vAlign w:val="center"/>
          </w:tcPr>
          <w:p w14:paraId="3B7F9E5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continue"/>
            <w:tcBorders>
              <w:tl2br w:val="nil"/>
              <w:tr2bl w:val="nil"/>
            </w:tcBorders>
            <w:shd w:val="clear" w:color="auto" w:fill="auto"/>
            <w:vAlign w:val="center"/>
          </w:tcPr>
          <w:p w14:paraId="29E9DB0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0B836AB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可设置四类管理员，分别为系统管理员、安全管理员、审计管理员，以及多种权限的超级管理员；管理员支持分级，高级别管理员的策略配置优先生效，并可修改低级管理员的策略。</w:t>
            </w:r>
          </w:p>
        </w:tc>
      </w:tr>
      <w:tr w14:paraId="7220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4B1EFF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continue"/>
            <w:tcBorders>
              <w:tl2br w:val="nil"/>
              <w:tr2bl w:val="nil"/>
            </w:tcBorders>
            <w:shd w:val="clear" w:color="auto" w:fill="auto"/>
            <w:vAlign w:val="center"/>
          </w:tcPr>
          <w:p w14:paraId="094F14DF">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39E06F7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支持管理员账号登录允许尝试次数可配，并支持管理员用户登录进行双因素认证，密码认证加邮件验证码；管理员账号支持TACACS+/RADIUS/LDAP协议外部认证。</w:t>
            </w:r>
          </w:p>
        </w:tc>
      </w:tr>
      <w:tr w14:paraId="3208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6190B91A">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restart"/>
            <w:tcBorders>
              <w:tl2br w:val="nil"/>
              <w:tr2bl w:val="nil"/>
            </w:tcBorders>
            <w:shd w:val="clear" w:color="auto" w:fill="auto"/>
            <w:vAlign w:val="center"/>
          </w:tcPr>
          <w:p w14:paraId="081A034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故障排查</w:t>
            </w:r>
          </w:p>
        </w:tc>
        <w:tc>
          <w:tcPr>
            <w:tcW w:w="6260" w:type="dxa"/>
            <w:tcBorders>
              <w:tl2br w:val="nil"/>
              <w:tr2bl w:val="nil"/>
            </w:tcBorders>
            <w:shd w:val="clear" w:color="auto" w:fill="auto"/>
            <w:vAlign w:val="center"/>
          </w:tcPr>
          <w:p w14:paraId="68FC4C5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★支持网络故障排查，支持PPS异常、丢包异常、ARP异常、内网DOS攻击等异常情况实时监测，显示每日异常事件个数及情况。（</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提供产品界面截图）</w:t>
            </w:r>
          </w:p>
        </w:tc>
      </w:tr>
      <w:tr w14:paraId="4AFA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D51B195">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continue"/>
            <w:tcBorders>
              <w:tl2br w:val="nil"/>
              <w:tr2bl w:val="nil"/>
            </w:tcBorders>
            <w:shd w:val="clear" w:color="auto" w:fill="auto"/>
            <w:vAlign w:val="center"/>
          </w:tcPr>
          <w:p w14:paraId="62165F18">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0F4AFDE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支持权限策略故障排查，支持针对上网权限策略进行检测分析，查看各个应用是否匹配相关策略。</w:t>
            </w:r>
          </w:p>
        </w:tc>
      </w:tr>
      <w:tr w14:paraId="2C9F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032D705">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continue"/>
            <w:tcBorders>
              <w:tl2br w:val="nil"/>
              <w:tr2bl w:val="nil"/>
            </w:tcBorders>
            <w:shd w:val="clear" w:color="auto" w:fill="auto"/>
            <w:vAlign w:val="center"/>
          </w:tcPr>
          <w:p w14:paraId="396F85E7">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0670B36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用户认证故障排查，支持针对用户认证的故障进行分析，给出错误详情以及排查建议。</w:t>
            </w:r>
          </w:p>
        </w:tc>
      </w:tr>
      <w:tr w14:paraId="3BDC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791B6B85">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continue"/>
            <w:tcBorders>
              <w:tl2br w:val="nil"/>
              <w:tr2bl w:val="nil"/>
            </w:tcBorders>
            <w:shd w:val="clear" w:color="auto" w:fill="auto"/>
            <w:vAlign w:val="center"/>
          </w:tcPr>
          <w:p w14:paraId="2BF8D89C">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049AA5E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★SSL解密故障排查，支持客户端解密排障，自动检测解密审计不成功原因。（</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提供产品界面截图）</w:t>
            </w:r>
          </w:p>
        </w:tc>
      </w:tr>
      <w:tr w14:paraId="5099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99CEF1A">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continue"/>
            <w:tcBorders>
              <w:tl2br w:val="nil"/>
              <w:tr2bl w:val="nil"/>
            </w:tcBorders>
            <w:shd w:val="clear" w:color="auto" w:fill="auto"/>
            <w:vAlign w:val="center"/>
          </w:tcPr>
          <w:p w14:paraId="648D6E18">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20C56AA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Web访问质量检测，针对内网用户的web访问质量进行检测，对整体网络提供清晰的整体网络质量评级。</w:t>
            </w:r>
          </w:p>
        </w:tc>
      </w:tr>
      <w:tr w14:paraId="7848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2C69CD1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认证管理</w:t>
            </w:r>
          </w:p>
        </w:tc>
        <w:tc>
          <w:tcPr>
            <w:tcW w:w="1190" w:type="dxa"/>
            <w:tcBorders>
              <w:tl2br w:val="nil"/>
              <w:tr2bl w:val="nil"/>
            </w:tcBorders>
            <w:shd w:val="clear" w:color="auto" w:fill="auto"/>
            <w:vAlign w:val="center"/>
          </w:tcPr>
          <w:p w14:paraId="71EDC41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本地认证</w:t>
            </w:r>
          </w:p>
        </w:tc>
        <w:tc>
          <w:tcPr>
            <w:tcW w:w="6260" w:type="dxa"/>
            <w:tcBorders>
              <w:tl2br w:val="nil"/>
              <w:tr2bl w:val="nil"/>
            </w:tcBorders>
            <w:shd w:val="clear" w:color="auto" w:fill="auto"/>
            <w:vAlign w:val="center"/>
          </w:tcPr>
          <w:p w14:paraId="4987C2C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支持用户密码认证、不需要认证以IP做用户名上线、不要需要认证以MAC做用户名上线等认证方式。</w:t>
            </w:r>
          </w:p>
        </w:tc>
      </w:tr>
      <w:tr w14:paraId="7434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0A15269">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7E3360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IP/MAC认证</w:t>
            </w:r>
          </w:p>
        </w:tc>
        <w:tc>
          <w:tcPr>
            <w:tcW w:w="6260" w:type="dxa"/>
            <w:tcBorders>
              <w:tl2br w:val="nil"/>
              <w:tr2bl w:val="nil"/>
            </w:tcBorders>
            <w:shd w:val="clear" w:color="auto" w:fill="auto"/>
            <w:vAlign w:val="center"/>
          </w:tcPr>
          <w:p w14:paraId="729C60A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支持IP/MAC绑定认证，支持通过SNMP服务器跨三层获取MAC地址。</w:t>
            </w:r>
          </w:p>
        </w:tc>
      </w:tr>
      <w:tr w14:paraId="4A8B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8175657">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5257F9E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短信认证</w:t>
            </w:r>
          </w:p>
        </w:tc>
        <w:tc>
          <w:tcPr>
            <w:tcW w:w="6260" w:type="dxa"/>
            <w:tcBorders>
              <w:tl2br w:val="nil"/>
              <w:tr2bl w:val="nil"/>
            </w:tcBorders>
            <w:shd w:val="clear" w:color="auto" w:fill="auto"/>
            <w:vAlign w:val="center"/>
          </w:tcPr>
          <w:p w14:paraId="141A285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支持短信认证，短信网关是HTTP协议时可发送验证码，可对接阿里云、腾讯云、移动云MAS等主流短信平台。</w:t>
            </w:r>
          </w:p>
        </w:tc>
      </w:tr>
      <w:tr w14:paraId="2F0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679787C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3B4047F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第三方认证</w:t>
            </w:r>
          </w:p>
        </w:tc>
        <w:tc>
          <w:tcPr>
            <w:tcW w:w="6260" w:type="dxa"/>
            <w:tcBorders>
              <w:tl2br w:val="nil"/>
              <w:tr2bl w:val="nil"/>
            </w:tcBorders>
            <w:shd w:val="clear" w:color="auto" w:fill="auto"/>
            <w:vAlign w:val="center"/>
          </w:tcPr>
          <w:p w14:paraId="2C14A4F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支持LDAP、Radius、POP3等第三方认证，其中LDAP认证应支持AD域、lotus ldap、novell ldap、open ldap、IBM ldap等。</w:t>
            </w:r>
          </w:p>
        </w:tc>
      </w:tr>
      <w:tr w14:paraId="4A53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7828725B">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2B807DE">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协同办公认证</w:t>
            </w:r>
          </w:p>
        </w:tc>
        <w:tc>
          <w:tcPr>
            <w:tcW w:w="6260" w:type="dxa"/>
            <w:tcBorders>
              <w:tl2br w:val="nil"/>
              <w:tr2bl w:val="nil"/>
            </w:tcBorders>
            <w:shd w:val="clear" w:color="auto" w:fill="auto"/>
            <w:vAlign w:val="center"/>
          </w:tcPr>
          <w:p w14:paraId="29129E6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支持通过钉钉、企业微信等第三方协同办公软件进行授权认证。</w:t>
            </w:r>
          </w:p>
        </w:tc>
      </w:tr>
      <w:tr w14:paraId="2CF2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12AB13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5DDCD50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802.1X认证</w:t>
            </w:r>
          </w:p>
        </w:tc>
        <w:tc>
          <w:tcPr>
            <w:tcW w:w="6260" w:type="dxa"/>
            <w:tcBorders>
              <w:tl2br w:val="nil"/>
              <w:tr2bl w:val="nil"/>
            </w:tcBorders>
            <w:shd w:val="clear" w:color="auto" w:fill="auto"/>
            <w:vAlign w:val="center"/>
          </w:tcPr>
          <w:p w14:paraId="7BE5762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★支持802.1x认证，可对接本地和AD域用户源进行用户名密码认证。（</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4A57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5C04DAE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14DD82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MAB免认证</w:t>
            </w:r>
          </w:p>
        </w:tc>
        <w:tc>
          <w:tcPr>
            <w:tcW w:w="6260" w:type="dxa"/>
            <w:tcBorders>
              <w:tl2br w:val="nil"/>
              <w:tr2bl w:val="nil"/>
            </w:tcBorders>
            <w:shd w:val="clear" w:color="auto" w:fill="auto"/>
            <w:vAlign w:val="center"/>
          </w:tcPr>
          <w:p w14:paraId="626B52D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支持MAB免认证，通过MAC地址绑定实现终端设备的进行免认证。</w:t>
            </w:r>
          </w:p>
        </w:tc>
      </w:tr>
      <w:tr w14:paraId="7E81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B73D54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75C8E0F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双因素认证</w:t>
            </w:r>
          </w:p>
        </w:tc>
        <w:tc>
          <w:tcPr>
            <w:tcW w:w="6260" w:type="dxa"/>
            <w:tcBorders>
              <w:tl2br w:val="nil"/>
              <w:tr2bl w:val="nil"/>
            </w:tcBorders>
            <w:shd w:val="clear" w:color="auto" w:fill="auto"/>
            <w:vAlign w:val="center"/>
          </w:tcPr>
          <w:p w14:paraId="366C944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★支持账号密码+动态令牌（Authenticator APP）验证码身份认证，支持通过短信和密码绑定动态令牌。（</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04D7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54858645">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217CE8C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单点登录</w:t>
            </w:r>
          </w:p>
        </w:tc>
        <w:tc>
          <w:tcPr>
            <w:tcW w:w="6260" w:type="dxa"/>
            <w:tcBorders>
              <w:tl2br w:val="nil"/>
              <w:tr2bl w:val="nil"/>
            </w:tcBorders>
            <w:shd w:val="clear" w:color="auto" w:fill="auto"/>
            <w:vAlign w:val="center"/>
          </w:tcPr>
          <w:p w14:paraId="4FFBAAE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支持radius、AD、POP3、Proxy、PPPOE、 H3C IMC/CAMS、锐捷 SAM、城市热点等系统进行认证单点登录，可强制指定用户、指定IP段的用户必须使用单点登录。</w:t>
            </w:r>
          </w:p>
        </w:tc>
      </w:tr>
      <w:tr w14:paraId="0B5C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585430E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流量管理</w:t>
            </w:r>
          </w:p>
        </w:tc>
        <w:tc>
          <w:tcPr>
            <w:tcW w:w="1190" w:type="dxa"/>
            <w:tcBorders>
              <w:tl2br w:val="nil"/>
              <w:tr2bl w:val="nil"/>
            </w:tcBorders>
            <w:shd w:val="clear" w:color="auto" w:fill="auto"/>
            <w:vAlign w:val="center"/>
          </w:tcPr>
          <w:p w14:paraId="30E4AED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通道化流控</w:t>
            </w:r>
          </w:p>
        </w:tc>
        <w:tc>
          <w:tcPr>
            <w:tcW w:w="6260" w:type="dxa"/>
            <w:tcBorders>
              <w:tl2br w:val="nil"/>
              <w:tr2bl w:val="nil"/>
            </w:tcBorders>
            <w:shd w:val="clear" w:color="auto" w:fill="auto"/>
            <w:vAlign w:val="center"/>
          </w:tcPr>
          <w:p w14:paraId="5013316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支持在不同线路上，根据适用应用、生效时间、目标IP、日期、适用对象、位置来保证或者限制流量，可根据百分比或数值设置通道带宽，并支持设置各通道的优先级。</w:t>
            </w:r>
          </w:p>
        </w:tc>
      </w:tr>
      <w:tr w14:paraId="08AD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720D3849">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003531A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动态流量调整</w:t>
            </w:r>
          </w:p>
        </w:tc>
        <w:tc>
          <w:tcPr>
            <w:tcW w:w="6260" w:type="dxa"/>
            <w:tcBorders>
              <w:tl2br w:val="nil"/>
              <w:tr2bl w:val="nil"/>
            </w:tcBorders>
            <w:shd w:val="clear" w:color="auto" w:fill="auto"/>
            <w:vAlign w:val="center"/>
          </w:tcPr>
          <w:p w14:paraId="13BE5AC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★支持在设置流量策略后，根据整体线路或者某流量通道内的空闲情况，自动启用和停止使用流量控制策略，以提升带宽的高使用率；线路空闲值可自定义。（</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3C12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AF92906">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13A77E7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P2P智能流控</w:t>
            </w:r>
          </w:p>
        </w:tc>
        <w:tc>
          <w:tcPr>
            <w:tcW w:w="6260" w:type="dxa"/>
            <w:tcBorders>
              <w:tl2br w:val="nil"/>
              <w:tr2bl w:val="nil"/>
            </w:tcBorders>
            <w:shd w:val="clear" w:color="auto" w:fill="auto"/>
            <w:vAlign w:val="center"/>
          </w:tcPr>
          <w:p w14:paraId="1BAC4CF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支持通过抑制P2P的下行丢包，来减缓P2P的下行流量，从而解决网络出口在做流控后仍然压力较大的问题。</w:t>
            </w:r>
          </w:p>
        </w:tc>
      </w:tr>
      <w:tr w14:paraId="6743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30724072">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2A1F213E">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流量配额</w:t>
            </w:r>
          </w:p>
        </w:tc>
        <w:tc>
          <w:tcPr>
            <w:tcW w:w="6260" w:type="dxa"/>
            <w:tcBorders>
              <w:tl2br w:val="nil"/>
              <w:tr2bl w:val="nil"/>
            </w:tcBorders>
            <w:shd w:val="clear" w:color="auto" w:fill="auto"/>
            <w:vAlign w:val="center"/>
          </w:tcPr>
          <w:p w14:paraId="074B1A7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支持对单个用户/用户组、位置、终端类型等设置日流量、月流量配额功能；必须支持流量配合的配置、实时使用量查询，当用户配额用尽后，可对用户进行提醒并禁止上网。</w:t>
            </w:r>
          </w:p>
        </w:tc>
      </w:tr>
      <w:tr w14:paraId="2320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B8859F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7F6990A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上网流速提醒</w:t>
            </w:r>
          </w:p>
        </w:tc>
        <w:tc>
          <w:tcPr>
            <w:tcW w:w="6260" w:type="dxa"/>
            <w:tcBorders>
              <w:tl2br w:val="nil"/>
              <w:tr2bl w:val="nil"/>
            </w:tcBorders>
            <w:shd w:val="clear" w:color="auto" w:fill="auto"/>
            <w:vAlign w:val="center"/>
          </w:tcPr>
          <w:p w14:paraId="0FE018B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用户指定应用上网流速超过预设阈值后，网关自动提醒该用户。</w:t>
            </w:r>
          </w:p>
        </w:tc>
      </w:tr>
      <w:tr w14:paraId="6C2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3C4937DA">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5FF0764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流量可视</w:t>
            </w:r>
          </w:p>
        </w:tc>
        <w:tc>
          <w:tcPr>
            <w:tcW w:w="6260" w:type="dxa"/>
            <w:tcBorders>
              <w:tl2br w:val="nil"/>
              <w:tr2bl w:val="nil"/>
            </w:tcBorders>
            <w:shd w:val="clear" w:color="auto" w:fill="auto"/>
            <w:vAlign w:val="center"/>
          </w:tcPr>
          <w:p w14:paraId="26F6FBC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能够实时看到各级流控通道的状态：包括所属线路、瞬时速率、通道占用比例、用户数、保证带宽、最大带宽、优先级，启用状态等。</w:t>
            </w:r>
          </w:p>
        </w:tc>
      </w:tr>
      <w:tr w14:paraId="7F07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6091096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应用访问管理</w:t>
            </w:r>
          </w:p>
        </w:tc>
        <w:tc>
          <w:tcPr>
            <w:tcW w:w="1190" w:type="dxa"/>
            <w:tcBorders>
              <w:tl2br w:val="nil"/>
              <w:tr2bl w:val="nil"/>
            </w:tcBorders>
            <w:shd w:val="clear" w:color="auto" w:fill="auto"/>
            <w:vAlign w:val="center"/>
          </w:tcPr>
          <w:p w14:paraId="3723173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应用控制策略</w:t>
            </w:r>
          </w:p>
        </w:tc>
        <w:tc>
          <w:tcPr>
            <w:tcW w:w="6260" w:type="dxa"/>
            <w:tcBorders>
              <w:tl2br w:val="nil"/>
              <w:tr2bl w:val="nil"/>
            </w:tcBorders>
            <w:shd w:val="clear" w:color="auto" w:fill="auto"/>
            <w:vAlign w:val="center"/>
          </w:tcPr>
          <w:p w14:paraId="583EDF3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支持根据IP、端口、协议等自定义应用规则；支持根据端口设定用户不允许访问的目标IP组提供的服务；支持根据不同的应用类型或具体的某种应用设置允许或拒绝。</w:t>
            </w:r>
          </w:p>
        </w:tc>
      </w:tr>
      <w:tr w14:paraId="09A5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60" w:type="dxa"/>
            <w:vMerge w:val="continue"/>
            <w:tcBorders>
              <w:tl2br w:val="nil"/>
              <w:tr2bl w:val="nil"/>
            </w:tcBorders>
            <w:shd w:val="clear" w:color="auto" w:fill="auto"/>
            <w:vAlign w:val="center"/>
          </w:tcPr>
          <w:p w14:paraId="4E50458C">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35E3E11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QQ白名单</w:t>
            </w:r>
          </w:p>
          <w:p w14:paraId="023EA73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38A0BDFF">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提供基于用户组划分、终端类型识别的QQ访问白名单功能，确保精细化的访问控制策略实施。</w:t>
            </w:r>
          </w:p>
        </w:tc>
      </w:tr>
      <w:tr w14:paraId="1FC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32E3C75D">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6764002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应用识别规则库</w:t>
            </w:r>
          </w:p>
          <w:p w14:paraId="0267531B">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06BD1B6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设备内置应用识别规则库，支持超过9000种以上应用规则数、支持超过6000种以上的应用；支持根据标签选择应用，并支持给每个应用自定义标签；支持根据标签选择一类应用做控制；支持超过900种以上主流Saas应用，对Saas应用有默认分类标签，帮助客户统一配置策略。（</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265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074DABF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网页访问管理</w:t>
            </w:r>
          </w:p>
        </w:tc>
        <w:tc>
          <w:tcPr>
            <w:tcW w:w="1190" w:type="dxa"/>
            <w:vMerge w:val="restart"/>
            <w:tcBorders>
              <w:tl2br w:val="nil"/>
              <w:tr2bl w:val="nil"/>
            </w:tcBorders>
            <w:shd w:val="clear" w:color="auto" w:fill="auto"/>
            <w:vAlign w:val="center"/>
          </w:tcPr>
          <w:p w14:paraId="49CB1E2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URL库管理</w:t>
            </w:r>
          </w:p>
          <w:p w14:paraId="105004C7">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68D3F48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★能够针对各种URL类型做识别和分类，同时所有URL类型都支持区分“网站浏览”、“文件上传”、“其他上传”、“HTTPS”等细分行为并分别做权限控制。（</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提供产品界面截图）</w:t>
            </w:r>
          </w:p>
        </w:tc>
      </w:tr>
      <w:tr w14:paraId="11F6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2F64253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continue"/>
            <w:tcBorders>
              <w:tl2br w:val="nil"/>
              <w:tr2bl w:val="nil"/>
            </w:tcBorders>
            <w:shd w:val="clear" w:color="auto" w:fill="auto"/>
            <w:vAlign w:val="center"/>
          </w:tcPr>
          <w:p w14:paraId="2FF4164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420697B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内置URL数量在2500万以上，包含分类数量80个以上；管理员可自定义新的URL地址和URL分类。</w:t>
            </w:r>
          </w:p>
        </w:tc>
      </w:tr>
      <w:tr w14:paraId="5809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3B22F1AC">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69E2CF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网页过滤</w:t>
            </w:r>
          </w:p>
        </w:tc>
        <w:tc>
          <w:tcPr>
            <w:tcW w:w="6260" w:type="dxa"/>
            <w:tcBorders>
              <w:tl2br w:val="nil"/>
              <w:tr2bl w:val="nil"/>
            </w:tcBorders>
            <w:shd w:val="clear" w:color="auto" w:fill="auto"/>
            <w:vAlign w:val="center"/>
          </w:tcPr>
          <w:p w14:paraId="3D2F3B7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支持根据访问的URL和网页关键字进行网页过滤，支持设置拒绝以IP访问网页行为；支持根据文件类型限制HTTP、FTP方式上传、下载行为。</w:t>
            </w:r>
          </w:p>
        </w:tc>
      </w:tr>
      <w:tr w14:paraId="4EA4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7998653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5E7F9076">
            <w:pPr>
              <w:autoSpaceDE w:val="0"/>
              <w:autoSpaceDN w:val="0"/>
              <w:snapToGrid w:val="0"/>
              <w:spacing w:line="360" w:lineRule="auto"/>
              <w:ind w:firstLine="0" w:firstLineChars="0"/>
              <w:jc w:val="center"/>
              <w:rPr>
                <w:rFonts w:hint="eastAsia" w:ascii="宋体" w:hAnsi="宋体" w:eastAsia="宋体" w:cs="宋体"/>
                <w:szCs w:val="21"/>
                <w:lang w:val="zh-CN"/>
              </w:rPr>
            </w:pPr>
            <w:r>
              <w:rPr>
                <w:rFonts w:hint="eastAsia" w:ascii="宋体" w:hAnsi="宋体" w:eastAsia="宋体" w:cs="宋体"/>
                <w:szCs w:val="21"/>
                <w:lang w:val="zh-CN"/>
              </w:rPr>
              <w:t>发帖审计</w:t>
            </w:r>
          </w:p>
        </w:tc>
        <w:tc>
          <w:tcPr>
            <w:tcW w:w="6260" w:type="dxa"/>
            <w:tcBorders>
              <w:tl2br w:val="nil"/>
              <w:tr2bl w:val="nil"/>
            </w:tcBorders>
            <w:shd w:val="clear" w:color="auto" w:fill="auto"/>
            <w:vAlign w:val="center"/>
          </w:tcPr>
          <w:p w14:paraId="5ED5E45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通过论坛发帖审计，审计终端用户论坛发帖内容及附件。</w:t>
            </w:r>
          </w:p>
        </w:tc>
      </w:tr>
      <w:tr w14:paraId="4A6B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2966710B">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5A0B6E9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发帖管理</w:t>
            </w:r>
          </w:p>
        </w:tc>
        <w:tc>
          <w:tcPr>
            <w:tcW w:w="6260" w:type="dxa"/>
            <w:tcBorders>
              <w:tl2br w:val="nil"/>
              <w:tr2bl w:val="nil"/>
            </w:tcBorders>
            <w:shd w:val="clear" w:color="auto" w:fill="auto"/>
            <w:vAlign w:val="center"/>
          </w:tcPr>
          <w:p w14:paraId="039D73A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支持加密的网页、论坛、BBS上的发帖行为精细化管理：过滤同时匹配三个以上关键字过滤的网络发帖行为、允许用户浏览帖子但不准发帖功能。</w:t>
            </w:r>
          </w:p>
        </w:tc>
      </w:tr>
      <w:tr w14:paraId="4FD0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66199DE">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6958825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网页文件管理</w:t>
            </w:r>
          </w:p>
        </w:tc>
        <w:tc>
          <w:tcPr>
            <w:tcW w:w="6260" w:type="dxa"/>
            <w:tcBorders>
              <w:tl2br w:val="nil"/>
              <w:tr2bl w:val="nil"/>
            </w:tcBorders>
            <w:shd w:val="clear" w:color="auto" w:fill="auto"/>
            <w:vAlign w:val="center"/>
          </w:tcPr>
          <w:p w14:paraId="038CE8E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支持基于文件类型的安全策略，限制HTTP与FTP协议的上传与下载行为。</w:t>
            </w:r>
          </w:p>
        </w:tc>
      </w:tr>
      <w:tr w14:paraId="7E16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160" w:type="dxa"/>
            <w:vMerge w:val="continue"/>
            <w:tcBorders>
              <w:tl2br w:val="nil"/>
              <w:tr2bl w:val="nil"/>
            </w:tcBorders>
            <w:shd w:val="clear" w:color="auto" w:fill="auto"/>
            <w:vAlign w:val="center"/>
          </w:tcPr>
          <w:p w14:paraId="099BE008">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3BEE40B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网页访问审计</w:t>
            </w:r>
          </w:p>
        </w:tc>
        <w:tc>
          <w:tcPr>
            <w:tcW w:w="6260" w:type="dxa"/>
            <w:tcBorders>
              <w:tl2br w:val="nil"/>
              <w:tr2bl w:val="nil"/>
            </w:tcBorders>
            <w:shd w:val="clear" w:color="auto" w:fill="auto"/>
            <w:vAlign w:val="center"/>
          </w:tcPr>
          <w:p w14:paraId="3E34791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★支持记录全部或者指定类别URL、网页标题、网页内容等信息，支持网页内容审计后的网页快照功能。（</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3E08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0" w:type="dxa"/>
            <w:vMerge w:val="continue"/>
            <w:tcBorders>
              <w:tl2br w:val="nil"/>
              <w:tr2bl w:val="nil"/>
            </w:tcBorders>
            <w:shd w:val="clear" w:color="auto" w:fill="auto"/>
            <w:vAlign w:val="center"/>
          </w:tcPr>
          <w:p w14:paraId="48EF5C1B">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restart"/>
            <w:tcBorders>
              <w:tl2br w:val="nil"/>
              <w:tr2bl w:val="nil"/>
            </w:tcBorders>
            <w:shd w:val="clear" w:color="auto" w:fill="auto"/>
            <w:vAlign w:val="center"/>
          </w:tcPr>
          <w:p w14:paraId="21AD42A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SSL解密与加密网页管理</w:t>
            </w:r>
          </w:p>
        </w:tc>
        <w:tc>
          <w:tcPr>
            <w:tcW w:w="6260" w:type="dxa"/>
            <w:tcBorders>
              <w:tl2br w:val="nil"/>
              <w:tr2bl w:val="nil"/>
            </w:tcBorders>
            <w:shd w:val="clear" w:color="auto" w:fill="auto"/>
            <w:vAlign w:val="center"/>
          </w:tcPr>
          <w:p w14:paraId="0EE338D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支持SSL中间人解密与客户端解密能力的，确保数据传输的透明性与安全性。</w:t>
            </w:r>
          </w:p>
        </w:tc>
      </w:tr>
      <w:tr w14:paraId="531E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668CDB49">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continue"/>
            <w:tcBorders>
              <w:tl2br w:val="nil"/>
              <w:tr2bl w:val="nil"/>
            </w:tcBorders>
            <w:shd w:val="clear" w:color="auto" w:fill="auto"/>
            <w:vAlign w:val="center"/>
          </w:tcPr>
          <w:p w14:paraId="44C57F6C">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67B62E6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★审计SSL网页时，支持加密证书重定向分发功能。（</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提供产品界面截图）</w:t>
            </w:r>
          </w:p>
        </w:tc>
      </w:tr>
      <w:tr w14:paraId="35AC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5E1B0167">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vMerge w:val="continue"/>
            <w:tcBorders>
              <w:tl2br w:val="nil"/>
              <w:tr2bl w:val="nil"/>
            </w:tcBorders>
            <w:shd w:val="clear" w:color="auto" w:fill="auto"/>
            <w:vAlign w:val="center"/>
          </w:tcPr>
          <w:p w14:paraId="4D11A642">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6260" w:type="dxa"/>
            <w:tcBorders>
              <w:tl2br w:val="nil"/>
              <w:tr2bl w:val="nil"/>
            </w:tcBorders>
            <w:shd w:val="clear" w:color="auto" w:fill="auto"/>
            <w:vAlign w:val="center"/>
          </w:tcPr>
          <w:p w14:paraId="392403A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支持SSL加密网页的内容检查，可对SSL加密网页进行解密并识别、过滤其内容，针对加密后的钓鱼网站、非法网站，可对用户进行重定向告警。</w:t>
            </w:r>
          </w:p>
        </w:tc>
      </w:tr>
      <w:tr w14:paraId="51B1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60" w:type="dxa"/>
            <w:vMerge w:val="continue"/>
            <w:tcBorders>
              <w:tl2br w:val="nil"/>
              <w:tr2bl w:val="nil"/>
            </w:tcBorders>
            <w:shd w:val="clear" w:color="auto" w:fill="auto"/>
            <w:vAlign w:val="center"/>
          </w:tcPr>
          <w:p w14:paraId="41CF0AE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3EE1989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二级代理</w:t>
            </w:r>
          </w:p>
        </w:tc>
        <w:tc>
          <w:tcPr>
            <w:tcW w:w="6260" w:type="dxa"/>
            <w:tcBorders>
              <w:tl2br w:val="nil"/>
              <w:tr2bl w:val="nil"/>
            </w:tcBorders>
            <w:shd w:val="clear" w:color="auto" w:fill="auto"/>
            <w:vAlign w:val="center"/>
          </w:tcPr>
          <w:p w14:paraId="6FA7581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支持配置二级代理服务器，支持附加用户名和用户组信息。</w:t>
            </w:r>
          </w:p>
          <w:p w14:paraId="01EBE4B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支持将用户的HTTP\Socks4\Socks5代理请求转发给对应的二级代理服务器。（级联代理架构）</w:t>
            </w:r>
          </w:p>
        </w:tc>
      </w:tr>
      <w:tr w14:paraId="02F0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560E3CF">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11033C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非法代理管控</w:t>
            </w:r>
          </w:p>
        </w:tc>
        <w:tc>
          <w:tcPr>
            <w:tcW w:w="6260" w:type="dxa"/>
            <w:tcBorders>
              <w:tl2br w:val="nil"/>
              <w:tr2bl w:val="nil"/>
            </w:tcBorders>
            <w:shd w:val="clear" w:color="auto" w:fill="auto"/>
            <w:vAlign w:val="center"/>
          </w:tcPr>
          <w:p w14:paraId="259FEA6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★支持代理控制功能，不允许使用外部HTTP代理，不允许使用外部SOCKS4/5代理，不允许在HTTP，SSL一些的标准端口上使用其他协议。（比如在80端口上传输非HTTP协议数据，在443端口上传输非HTTPS协议数据等）（</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42ED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5DB98D2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终端资产管理</w:t>
            </w:r>
          </w:p>
        </w:tc>
        <w:tc>
          <w:tcPr>
            <w:tcW w:w="1190" w:type="dxa"/>
            <w:tcBorders>
              <w:tl2br w:val="nil"/>
              <w:tr2bl w:val="nil"/>
            </w:tcBorders>
            <w:shd w:val="clear" w:color="auto" w:fill="auto"/>
            <w:vAlign w:val="center"/>
          </w:tcPr>
          <w:p w14:paraId="32681B3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IP地址管理</w:t>
            </w:r>
          </w:p>
        </w:tc>
        <w:tc>
          <w:tcPr>
            <w:tcW w:w="6260" w:type="dxa"/>
            <w:tcBorders>
              <w:tl2br w:val="nil"/>
              <w:tr2bl w:val="nil"/>
            </w:tcBorders>
            <w:shd w:val="clear" w:color="auto" w:fill="auto"/>
            <w:vAlign w:val="center"/>
          </w:tcPr>
          <w:p w14:paraId="5EE99B0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★支持图形化查看当前内网IP使用情况，帮助管理员减少人工维护IP表的工作量。（</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提供产品界面截图）</w:t>
            </w:r>
          </w:p>
        </w:tc>
      </w:tr>
      <w:tr w14:paraId="21EA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9499CCE">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3811455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终端资产识别</w:t>
            </w:r>
          </w:p>
        </w:tc>
        <w:tc>
          <w:tcPr>
            <w:tcW w:w="6260" w:type="dxa"/>
            <w:tcBorders>
              <w:tl2br w:val="nil"/>
              <w:tr2bl w:val="nil"/>
            </w:tcBorders>
            <w:shd w:val="clear" w:color="auto" w:fill="auto"/>
            <w:vAlign w:val="center"/>
          </w:tcPr>
          <w:p w14:paraId="099E889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自动发现网络里面的终端，并获取IP、Mac、厂商、操作系统等信息，设备必须支持PC、移动设备、哑终端、专用设备的发现和型号识别：至少支持Windows、Linux、MAC、瘦客户机等PC；至少支持手机、平板等移动设备；至少支持服务器、交换机、无线控制器等网络设备；至少支持打印机、投影仪、电视、摄像头、门禁系统等哑终端；支持自定义终端类型。</w:t>
            </w:r>
          </w:p>
        </w:tc>
      </w:tr>
      <w:tr w14:paraId="4D56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3927663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终端安全管理</w:t>
            </w:r>
          </w:p>
        </w:tc>
        <w:tc>
          <w:tcPr>
            <w:tcW w:w="1190" w:type="dxa"/>
            <w:tcBorders>
              <w:tl2br w:val="nil"/>
              <w:tr2bl w:val="nil"/>
            </w:tcBorders>
            <w:shd w:val="clear" w:color="auto" w:fill="auto"/>
            <w:vAlign w:val="center"/>
          </w:tcPr>
          <w:p w14:paraId="378972B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安全基线检查</w:t>
            </w:r>
          </w:p>
        </w:tc>
        <w:tc>
          <w:tcPr>
            <w:tcW w:w="6260" w:type="dxa"/>
            <w:tcBorders>
              <w:tl2br w:val="nil"/>
              <w:tr2bl w:val="nil"/>
            </w:tcBorders>
            <w:shd w:val="clear" w:color="auto" w:fill="auto"/>
            <w:vAlign w:val="center"/>
          </w:tcPr>
          <w:p w14:paraId="7951AC9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支持Windows终端安全检查，包括：杀软检查、操作系统检查、进程检查等对不满足检查要求的终端可弹窗提示、禁止上网、违规修复。</w:t>
            </w:r>
          </w:p>
        </w:tc>
      </w:tr>
      <w:tr w14:paraId="2147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962D5E3">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2FB4162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软件安装检查</w:t>
            </w:r>
          </w:p>
        </w:tc>
        <w:tc>
          <w:tcPr>
            <w:tcW w:w="6260" w:type="dxa"/>
            <w:tcBorders>
              <w:tl2br w:val="nil"/>
              <w:tr2bl w:val="nil"/>
            </w:tcBorders>
            <w:shd w:val="clear" w:color="auto" w:fill="auto"/>
            <w:vAlign w:val="center"/>
          </w:tcPr>
          <w:p w14:paraId="2AC34C0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★无需安装客户端，通过流量状况检查主流杀毒软件的运行情况，对不满足检查要求的终端可重定向页面修复。（</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提供产品界面截图）</w:t>
            </w:r>
          </w:p>
        </w:tc>
      </w:tr>
      <w:tr w14:paraId="5FE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58C968CE">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1C681C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计划任务检查</w:t>
            </w:r>
          </w:p>
        </w:tc>
        <w:tc>
          <w:tcPr>
            <w:tcW w:w="6260" w:type="dxa"/>
            <w:tcBorders>
              <w:tl2br w:val="nil"/>
              <w:tr2bl w:val="nil"/>
            </w:tcBorders>
            <w:shd w:val="clear" w:color="auto" w:fill="auto"/>
            <w:vAlign w:val="center"/>
          </w:tcPr>
          <w:p w14:paraId="776E5C9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支持Windows终端调用管理员上传脚本/程序以满足个性化检查要求，可设置周期性运行或者运行一次，可设置以当前用户或SYSTEM用户权限执行，执行结果检查是否生效。</w:t>
            </w:r>
          </w:p>
        </w:tc>
      </w:tr>
      <w:tr w14:paraId="4CDA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FA49A06">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38B5957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Windows桌面水印</w:t>
            </w:r>
          </w:p>
        </w:tc>
        <w:tc>
          <w:tcPr>
            <w:tcW w:w="6260" w:type="dxa"/>
            <w:tcBorders>
              <w:tl2br w:val="nil"/>
              <w:tr2bl w:val="nil"/>
            </w:tcBorders>
            <w:shd w:val="clear" w:color="auto" w:fill="auto"/>
            <w:vAlign w:val="center"/>
          </w:tcPr>
          <w:p w14:paraId="29340CC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★支持Windows桌面水印，支持设置水印的内容、透明度、密度，水印效果预览，离线时继续生效。（</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20F2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7259407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650A203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Windows端口管控规则</w:t>
            </w:r>
          </w:p>
        </w:tc>
        <w:tc>
          <w:tcPr>
            <w:tcW w:w="6260" w:type="dxa"/>
            <w:tcBorders>
              <w:tl2br w:val="nil"/>
              <w:tr2bl w:val="nil"/>
            </w:tcBorders>
            <w:shd w:val="clear" w:color="auto" w:fill="auto"/>
            <w:vAlign w:val="center"/>
          </w:tcPr>
          <w:p w14:paraId="5081DC6E">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支持放通或封堵TCP\UDP端口、ICMP协议，可设置对所有IP或者指定IP执行，离线时继续生效。</w:t>
            </w:r>
          </w:p>
        </w:tc>
      </w:tr>
      <w:tr w14:paraId="167D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87FCAE6">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2997910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Windows应用联网管控</w:t>
            </w:r>
          </w:p>
        </w:tc>
        <w:tc>
          <w:tcPr>
            <w:tcW w:w="6260" w:type="dxa"/>
            <w:tcBorders>
              <w:tl2br w:val="nil"/>
              <w:tr2bl w:val="nil"/>
            </w:tcBorders>
            <w:shd w:val="clear" w:color="auto" w:fill="auto"/>
            <w:vAlign w:val="center"/>
          </w:tcPr>
          <w:p w14:paraId="36A296B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支持对终端应用联网管控，可设置禁止或允许访问互联网，禁止或允许访问指定IP地址，离线时继续生效。</w:t>
            </w:r>
          </w:p>
        </w:tc>
      </w:tr>
      <w:tr w14:paraId="7EAA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58B5D780">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531940C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外设管控</w:t>
            </w:r>
          </w:p>
        </w:tc>
        <w:tc>
          <w:tcPr>
            <w:tcW w:w="6260" w:type="dxa"/>
            <w:tcBorders>
              <w:tl2br w:val="nil"/>
              <w:tr2bl w:val="nil"/>
            </w:tcBorders>
            <w:shd w:val="clear" w:color="auto" w:fill="auto"/>
            <w:vAlign w:val="center"/>
          </w:tcPr>
          <w:p w14:paraId="0AD73F7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支持存储设备、网络设备、蓝牙设备、摄像头、打印机的使用管控；支持外设白名单，提供批量获取硬件ID的工具进行白名单配置。</w:t>
            </w:r>
          </w:p>
        </w:tc>
      </w:tr>
      <w:tr w14:paraId="4752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5E2303FC">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005CC9D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移动存储精细化管控/审计</w:t>
            </w:r>
          </w:p>
        </w:tc>
        <w:tc>
          <w:tcPr>
            <w:tcW w:w="6260" w:type="dxa"/>
            <w:tcBorders>
              <w:tl2br w:val="nil"/>
              <w:tr2bl w:val="nil"/>
            </w:tcBorders>
            <w:shd w:val="clear" w:color="auto" w:fill="auto"/>
            <w:vAlign w:val="center"/>
          </w:tcPr>
          <w:p w14:paraId="02B726A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支持对U盘、移动硬盘设置可读写、拒绝、可读、告警；可对拷贝的文件内容以及插入和拔出行为的审计。</w:t>
            </w:r>
          </w:p>
        </w:tc>
      </w:tr>
      <w:tr w14:paraId="1745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45C4C1E6">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0BC3796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软件安装检查</w:t>
            </w:r>
          </w:p>
        </w:tc>
        <w:tc>
          <w:tcPr>
            <w:tcW w:w="6260" w:type="dxa"/>
            <w:tcBorders>
              <w:tl2br w:val="nil"/>
              <w:tr2bl w:val="nil"/>
            </w:tcBorders>
            <w:shd w:val="clear" w:color="auto" w:fill="auto"/>
            <w:vAlign w:val="center"/>
          </w:tcPr>
          <w:p w14:paraId="6515FAD9">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检查终端是否安装指定软件，对不满足检查要求的终端可安装指定软件、弹窗提示、只记录结果、禁止上网。</w:t>
            </w:r>
          </w:p>
        </w:tc>
      </w:tr>
      <w:tr w14:paraId="740A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5A06477E">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终端外联管理</w:t>
            </w:r>
          </w:p>
        </w:tc>
        <w:tc>
          <w:tcPr>
            <w:tcW w:w="1190" w:type="dxa"/>
            <w:tcBorders>
              <w:tl2br w:val="nil"/>
              <w:tr2bl w:val="nil"/>
            </w:tcBorders>
            <w:shd w:val="clear" w:color="auto" w:fill="auto"/>
            <w:vAlign w:val="center"/>
          </w:tcPr>
          <w:p w14:paraId="3DF1914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外联行为检查</w:t>
            </w:r>
          </w:p>
        </w:tc>
        <w:tc>
          <w:tcPr>
            <w:tcW w:w="6260" w:type="dxa"/>
            <w:tcBorders>
              <w:tl2br w:val="nil"/>
              <w:tr2bl w:val="nil"/>
            </w:tcBorders>
            <w:shd w:val="clear" w:color="auto" w:fill="auto"/>
            <w:vAlign w:val="center"/>
          </w:tcPr>
          <w:p w14:paraId="775E345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★支持Windows终端外联行为检查，包括：拨号行为、双网卡行为、有无线网卡行为、连接非法WIFI、4G网卡、使用非法网关、连接外网、自定义外联行为，对不满足检查要求的终端强制断网，并弹窗提示用户。（</w:t>
            </w:r>
            <w:r>
              <w:rPr>
                <w:rFonts w:hint="eastAsia" w:ascii="宋体" w:hAnsi="宋体" w:eastAsia="宋体" w:cs="宋体"/>
                <w:szCs w:val="21"/>
                <w:lang w:val="en-US" w:eastAsia="zh-CN"/>
              </w:rPr>
              <w:t>投标时提供第三方具有国家认可资质的检测机构出具的检测报告</w:t>
            </w:r>
            <w:r>
              <w:rPr>
                <w:rFonts w:hint="eastAsia" w:ascii="宋体" w:hAnsi="宋体" w:eastAsia="宋体" w:cs="宋体"/>
                <w:szCs w:val="21"/>
                <w:lang w:val="zh-CN"/>
              </w:rPr>
              <w:t>和产品功能截图）</w:t>
            </w:r>
          </w:p>
        </w:tc>
      </w:tr>
      <w:tr w14:paraId="386F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60CB0188">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6706B63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外联告警事件</w:t>
            </w:r>
          </w:p>
        </w:tc>
        <w:tc>
          <w:tcPr>
            <w:tcW w:w="6260" w:type="dxa"/>
            <w:tcBorders>
              <w:tl2br w:val="nil"/>
              <w:tr2bl w:val="nil"/>
            </w:tcBorders>
            <w:shd w:val="clear" w:color="auto" w:fill="auto"/>
            <w:vAlign w:val="center"/>
          </w:tcPr>
          <w:p w14:paraId="078946D5">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告警事件中支持违规外联告警选项，用于对违规外联行为使用进行预警。</w:t>
            </w:r>
          </w:p>
        </w:tc>
      </w:tr>
      <w:tr w14:paraId="3452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769BDF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EA876BB">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外联控制</w:t>
            </w:r>
          </w:p>
        </w:tc>
        <w:tc>
          <w:tcPr>
            <w:tcW w:w="6260" w:type="dxa"/>
            <w:tcBorders>
              <w:tl2br w:val="nil"/>
              <w:tr2bl w:val="nil"/>
            </w:tcBorders>
            <w:shd w:val="clear" w:color="auto" w:fill="auto"/>
            <w:vAlign w:val="center"/>
          </w:tcPr>
          <w:p w14:paraId="2FDFB5E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管控策略可基于用户对象、目标IP等维度进行策略自定义，支持设置终端访问地址白名单或黑名单。</w:t>
            </w:r>
          </w:p>
        </w:tc>
      </w:tr>
      <w:tr w14:paraId="0F7E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tcBorders>
              <w:tl2br w:val="nil"/>
              <w:tr2bl w:val="nil"/>
            </w:tcBorders>
            <w:shd w:val="clear" w:color="auto" w:fill="auto"/>
            <w:vAlign w:val="center"/>
          </w:tcPr>
          <w:p w14:paraId="55744CD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日志管理</w:t>
            </w:r>
          </w:p>
        </w:tc>
        <w:tc>
          <w:tcPr>
            <w:tcW w:w="1190" w:type="dxa"/>
            <w:tcBorders>
              <w:tl2br w:val="nil"/>
              <w:tr2bl w:val="nil"/>
            </w:tcBorders>
            <w:shd w:val="clear" w:color="auto" w:fill="auto"/>
            <w:vAlign w:val="center"/>
          </w:tcPr>
          <w:p w14:paraId="69B3BB2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日志中心</w:t>
            </w:r>
          </w:p>
        </w:tc>
        <w:tc>
          <w:tcPr>
            <w:tcW w:w="6260" w:type="dxa"/>
            <w:tcBorders>
              <w:tl2br w:val="nil"/>
              <w:tr2bl w:val="nil"/>
            </w:tcBorders>
            <w:shd w:val="clear" w:color="auto" w:fill="auto"/>
            <w:vAlign w:val="center"/>
          </w:tcPr>
          <w:p w14:paraId="2F20919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★支持内置、外置日志中心；支持分级配置管理员日志查看权限，支持以USB-Key方式验证接入日志中心的管理员身份。（</w:t>
            </w:r>
            <w:r>
              <w:rPr>
                <w:rFonts w:hint="eastAsia" w:ascii="宋体" w:hAnsi="宋体" w:eastAsia="宋体" w:cs="宋体"/>
                <w:szCs w:val="21"/>
                <w:lang w:val="en-US" w:eastAsia="zh-CN"/>
              </w:rPr>
              <w:t>投标时</w:t>
            </w:r>
            <w:r>
              <w:rPr>
                <w:rFonts w:hint="eastAsia" w:ascii="宋体" w:hAnsi="宋体" w:eastAsia="宋体" w:cs="宋体"/>
                <w:szCs w:val="21"/>
                <w:lang w:val="zh-CN"/>
              </w:rPr>
              <w:t>提供产品界面截图）</w:t>
            </w:r>
          </w:p>
        </w:tc>
      </w:tr>
      <w:tr w14:paraId="040B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738A05E">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79BED2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用户行为日志</w:t>
            </w:r>
          </w:p>
        </w:tc>
        <w:tc>
          <w:tcPr>
            <w:tcW w:w="6260" w:type="dxa"/>
            <w:tcBorders>
              <w:tl2br w:val="nil"/>
              <w:tr2bl w:val="nil"/>
            </w:tcBorders>
            <w:shd w:val="clear" w:color="auto" w:fill="auto"/>
            <w:vAlign w:val="center"/>
          </w:tcPr>
          <w:p w14:paraId="43E6B070">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支持查询和导出基于指定时间段/用户/用户组的文件审计、邮件收发、访问网站、发帖/微博、搜索关键字等详细用户行为的报表。</w:t>
            </w:r>
          </w:p>
        </w:tc>
      </w:tr>
      <w:tr w14:paraId="6EAE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4AD5F8A8">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0DB10F83">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流量和时长统计报表</w:t>
            </w:r>
          </w:p>
        </w:tc>
        <w:tc>
          <w:tcPr>
            <w:tcW w:w="6260" w:type="dxa"/>
            <w:tcBorders>
              <w:tl2br w:val="nil"/>
              <w:tr2bl w:val="nil"/>
            </w:tcBorders>
            <w:shd w:val="clear" w:color="auto" w:fill="auto"/>
            <w:vAlign w:val="center"/>
          </w:tcPr>
          <w:p w14:paraId="5CACDD32">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支持基于时间段/用户/用户组/终端类型/位置等维度的流量和时长统计排行报表，至少包括11种。</w:t>
            </w:r>
          </w:p>
        </w:tc>
      </w:tr>
      <w:tr w14:paraId="3043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3C71D464">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3DB2998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上网行为统计报表</w:t>
            </w:r>
          </w:p>
        </w:tc>
        <w:tc>
          <w:tcPr>
            <w:tcW w:w="6260" w:type="dxa"/>
            <w:tcBorders>
              <w:tl2br w:val="nil"/>
              <w:tr2bl w:val="nil"/>
            </w:tcBorders>
            <w:shd w:val="clear" w:color="auto" w:fill="auto"/>
            <w:vAlign w:val="center"/>
          </w:tcPr>
          <w:p w14:paraId="07B7C667">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支持基于时间段/用户/用户组/终端类型/位置等维度的多种上网行为统计排行报表，至少包括7种。</w:t>
            </w:r>
          </w:p>
        </w:tc>
      </w:tr>
      <w:tr w14:paraId="5CED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19CBFD45">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41BFF56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自定义报表</w:t>
            </w:r>
          </w:p>
        </w:tc>
        <w:tc>
          <w:tcPr>
            <w:tcW w:w="6260" w:type="dxa"/>
            <w:tcBorders>
              <w:tl2br w:val="nil"/>
              <w:tr2bl w:val="nil"/>
            </w:tcBorders>
            <w:shd w:val="clear" w:color="auto" w:fill="auto"/>
            <w:vAlign w:val="center"/>
          </w:tcPr>
          <w:p w14:paraId="7C36C9EE">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支持多维度下选择具体的基于用户/用户组/终端/网站/域名/应用/通道/搜索关键字等细粒度的排行、趋势等报表，整合成一个自定义报表进行订阅。</w:t>
            </w:r>
          </w:p>
        </w:tc>
      </w:tr>
      <w:tr w14:paraId="6449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27366A89">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6DA1D82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关键字订阅</w:t>
            </w:r>
          </w:p>
        </w:tc>
        <w:tc>
          <w:tcPr>
            <w:tcW w:w="6260" w:type="dxa"/>
            <w:tcBorders>
              <w:tl2br w:val="nil"/>
              <w:tr2bl w:val="nil"/>
            </w:tcBorders>
            <w:shd w:val="clear" w:color="auto" w:fill="auto"/>
            <w:vAlign w:val="center"/>
          </w:tcPr>
          <w:p w14:paraId="74EDDD21">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支持预置几组关键字，当审计日志中出现这些关键字时，将定期以邮件的方式发送报告给指定邮箱。</w:t>
            </w:r>
          </w:p>
        </w:tc>
      </w:tr>
      <w:tr w14:paraId="7423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65237E91">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1DBB775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报表订阅</w:t>
            </w:r>
          </w:p>
        </w:tc>
        <w:tc>
          <w:tcPr>
            <w:tcW w:w="6260" w:type="dxa"/>
            <w:tcBorders>
              <w:tl2br w:val="nil"/>
              <w:tr2bl w:val="nil"/>
            </w:tcBorders>
            <w:shd w:val="clear" w:color="auto" w:fill="auto"/>
            <w:vAlign w:val="center"/>
          </w:tcPr>
          <w:p w14:paraId="3BDEF9D6">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支持按预置周期将网络概括报表、团队稳定性分析报表、工作效率分析报表、以及自定义报表等自动发送到指定邮箱。</w:t>
            </w:r>
          </w:p>
        </w:tc>
      </w:tr>
      <w:tr w14:paraId="0BB9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tcBorders>
              <w:tl2br w:val="nil"/>
              <w:tr2bl w:val="nil"/>
            </w:tcBorders>
            <w:shd w:val="clear" w:color="auto" w:fill="auto"/>
            <w:vAlign w:val="center"/>
          </w:tcPr>
          <w:p w14:paraId="0A1DBE3F">
            <w:pPr>
              <w:autoSpaceDE w:val="0"/>
              <w:autoSpaceDN w:val="0"/>
              <w:snapToGrid w:val="0"/>
              <w:spacing w:line="360" w:lineRule="auto"/>
              <w:ind w:firstLine="0" w:firstLineChars="0"/>
              <w:jc w:val="left"/>
              <w:rPr>
                <w:rFonts w:hint="eastAsia" w:ascii="宋体" w:hAnsi="宋体" w:eastAsia="宋体" w:cs="宋体"/>
                <w:szCs w:val="21"/>
                <w:lang w:val="zh-CN"/>
              </w:rPr>
            </w:pPr>
          </w:p>
        </w:tc>
        <w:tc>
          <w:tcPr>
            <w:tcW w:w="1190" w:type="dxa"/>
            <w:tcBorders>
              <w:tl2br w:val="nil"/>
              <w:tr2bl w:val="nil"/>
            </w:tcBorders>
            <w:shd w:val="clear" w:color="auto" w:fill="auto"/>
            <w:vAlign w:val="center"/>
          </w:tcPr>
          <w:p w14:paraId="3218359A">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日志分析应用</w:t>
            </w:r>
          </w:p>
        </w:tc>
        <w:tc>
          <w:tcPr>
            <w:tcW w:w="6260" w:type="dxa"/>
            <w:tcBorders>
              <w:tl2br w:val="nil"/>
              <w:tr2bl w:val="nil"/>
            </w:tcBorders>
            <w:shd w:val="clear" w:color="auto" w:fill="auto"/>
            <w:vAlign w:val="center"/>
          </w:tcPr>
          <w:p w14:paraId="65CD300E">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支持对上网日志进行大数据分析，并支持多个大数据分析模型：包括业务审计、带宽分析、上网态势分析、带宽分析、未关机检测分析、图书馆资源优化、办公网上网态势分析、专线质量分析。</w:t>
            </w:r>
          </w:p>
        </w:tc>
      </w:tr>
      <w:tr w14:paraId="50F8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tcBorders>
              <w:tl2br w:val="nil"/>
              <w:tr2bl w:val="nil"/>
            </w:tcBorders>
            <w:shd w:val="clear" w:color="auto" w:fill="auto"/>
            <w:vAlign w:val="center"/>
          </w:tcPr>
          <w:p w14:paraId="671CB5D4">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资质要求</w:t>
            </w:r>
          </w:p>
        </w:tc>
        <w:tc>
          <w:tcPr>
            <w:tcW w:w="7450" w:type="dxa"/>
            <w:gridSpan w:val="2"/>
            <w:tcBorders>
              <w:tl2br w:val="nil"/>
              <w:tr2bl w:val="nil"/>
            </w:tcBorders>
            <w:shd w:val="clear" w:color="auto" w:fill="auto"/>
            <w:vAlign w:val="center"/>
          </w:tcPr>
          <w:p w14:paraId="5A384398">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★与现有的深信服上网行为管理做双活或提供两台同性能的产品。</w:t>
            </w:r>
          </w:p>
          <w:p w14:paraId="0B9EF7AD">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1、</w:t>
            </w:r>
            <w:r>
              <w:rPr>
                <w:rFonts w:hint="eastAsia" w:ascii="宋体" w:hAnsi="宋体" w:cs="宋体"/>
                <w:szCs w:val="21"/>
                <w:lang w:val="zh-CN"/>
              </w:rPr>
              <w:t>为保障用户利益，对于中标单位提供虚假参数强行中标的行为，经测试查实后根据相关政府采购法规执行，并按相关要求赔偿采购方相关损失。</w:t>
            </w:r>
          </w:p>
          <w:p w14:paraId="2CB16BEC">
            <w:pPr>
              <w:autoSpaceDE w:val="0"/>
              <w:autoSpaceDN w:val="0"/>
              <w:snapToGrid w:val="0"/>
              <w:spacing w:line="360" w:lineRule="auto"/>
              <w:ind w:firstLine="0" w:firstLineChars="0"/>
              <w:jc w:val="left"/>
              <w:rPr>
                <w:rFonts w:hint="eastAsia" w:ascii="宋体" w:hAnsi="宋体" w:eastAsia="宋体" w:cs="宋体"/>
                <w:szCs w:val="21"/>
                <w:lang w:val="zh-CN"/>
              </w:rPr>
            </w:pPr>
            <w:r>
              <w:rPr>
                <w:rFonts w:hint="eastAsia" w:ascii="宋体" w:hAnsi="宋体" w:eastAsia="宋体" w:cs="宋体"/>
                <w:szCs w:val="21"/>
                <w:lang w:val="zh-CN"/>
              </w:rPr>
              <w:t>2、供货时，项目使用人为浙江康复医院，并能通过序列号查验，以免软件版权导致法律问题。</w:t>
            </w:r>
          </w:p>
        </w:tc>
      </w:tr>
    </w:tbl>
    <w:p w14:paraId="340DFD9A">
      <w:pPr>
        <w:spacing w:line="360" w:lineRule="auto"/>
        <w:ind w:firstLine="0" w:firstLineChars="0"/>
        <w:rPr>
          <w:szCs w:val="21"/>
        </w:rPr>
      </w:pPr>
    </w:p>
    <w:p w14:paraId="2ECA0B20">
      <w:pPr>
        <w:spacing w:line="360" w:lineRule="auto"/>
        <w:ind w:firstLine="0" w:firstLineChars="0"/>
      </w:pPr>
    </w:p>
    <w:p w14:paraId="55ED9640">
      <w:pPr>
        <w:spacing w:line="360" w:lineRule="auto"/>
        <w:ind w:firstLine="0" w:firstLineChars="0"/>
      </w:pPr>
    </w:p>
    <w:p w14:paraId="756CCAC4">
      <w:pPr>
        <w:adjustRightInd w:val="0"/>
        <w:spacing w:line="360" w:lineRule="auto"/>
        <w:ind w:firstLine="0" w:firstLineChars="0"/>
        <w:rPr>
          <w:rFonts w:hint="eastAsia" w:ascii="宋体" w:hAnsi="宋体" w:eastAsia="宋体" w:cs="宋体"/>
          <w:szCs w:val="21"/>
        </w:rPr>
      </w:pPr>
      <w:r>
        <w:rPr>
          <w:rFonts w:hint="eastAsia" w:ascii="宋体" w:hAnsi="宋体" w:eastAsia="宋体" w:cs="宋体"/>
          <w:szCs w:val="21"/>
        </w:rPr>
        <w:t>外网杀毒终端安全管理系统建设需求标准：</w:t>
      </w:r>
    </w:p>
    <w:tbl>
      <w:tblPr>
        <w:tblStyle w:val="62"/>
        <w:tblW w:w="8547" w:type="dxa"/>
        <w:tblInd w:w="-217" w:type="dxa"/>
        <w:tblLayout w:type="fixed"/>
        <w:tblCellMar>
          <w:top w:w="0" w:type="dxa"/>
          <w:left w:w="108" w:type="dxa"/>
          <w:bottom w:w="0" w:type="dxa"/>
          <w:right w:w="108" w:type="dxa"/>
        </w:tblCellMar>
      </w:tblPr>
      <w:tblGrid>
        <w:gridCol w:w="751"/>
        <w:gridCol w:w="992"/>
        <w:gridCol w:w="6804"/>
      </w:tblGrid>
      <w:tr w14:paraId="2FEE5EC0">
        <w:tblPrEx>
          <w:tblCellMar>
            <w:top w:w="0" w:type="dxa"/>
            <w:left w:w="108" w:type="dxa"/>
            <w:bottom w:w="0" w:type="dxa"/>
            <w:right w:w="108" w:type="dxa"/>
          </w:tblCellMar>
        </w:tblPrEx>
        <w:trPr>
          <w:trHeight w:val="4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0DC1B">
            <w:pPr>
              <w:widowControl/>
              <w:spacing w:line="360" w:lineRule="auto"/>
              <w:ind w:firstLine="0" w:firstLineChars="0"/>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分类</w:t>
            </w:r>
          </w:p>
        </w:tc>
        <w:tc>
          <w:tcPr>
            <w:tcW w:w="9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78B94C">
            <w:pPr>
              <w:widowControl/>
              <w:spacing w:line="360" w:lineRule="auto"/>
              <w:ind w:firstLine="0" w:firstLineChars="0"/>
              <w:jc w:val="left"/>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指标名称</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96902">
            <w:pPr>
              <w:widowControl/>
              <w:spacing w:line="360" w:lineRule="auto"/>
              <w:ind w:firstLine="0" w:firstLineChars="0"/>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指标描述</w:t>
            </w:r>
          </w:p>
        </w:tc>
      </w:tr>
      <w:tr w14:paraId="15BEB58B">
        <w:tblPrEx>
          <w:tblCellMar>
            <w:top w:w="0" w:type="dxa"/>
            <w:left w:w="108" w:type="dxa"/>
            <w:bottom w:w="0" w:type="dxa"/>
            <w:right w:w="108" w:type="dxa"/>
          </w:tblCellMar>
        </w:tblPrEx>
        <w:trPr>
          <w:trHeight w:val="1030" w:hRule="atLeast"/>
        </w:trPr>
        <w:tc>
          <w:tcPr>
            <w:tcW w:w="751" w:type="dxa"/>
            <w:tcBorders>
              <w:top w:val="single" w:color="000000" w:sz="4" w:space="0"/>
              <w:left w:val="single" w:color="000000" w:sz="4" w:space="0"/>
              <w:bottom w:val="nil"/>
              <w:right w:val="single" w:color="000000" w:sz="4" w:space="0"/>
            </w:tcBorders>
            <w:shd w:val="clear" w:color="auto" w:fill="auto"/>
            <w:vAlign w:val="center"/>
          </w:tcPr>
          <w:p w14:paraId="66B5AA3D">
            <w:pPr>
              <w:widowControl/>
              <w:spacing w:line="360" w:lineRule="auto"/>
              <w:ind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配置</w:t>
            </w:r>
          </w:p>
        </w:tc>
        <w:tc>
          <w:tcPr>
            <w:tcW w:w="992" w:type="dxa"/>
            <w:tcBorders>
              <w:top w:val="single" w:color="000000" w:sz="4" w:space="0"/>
              <w:left w:val="single" w:color="000000" w:sz="4" w:space="0"/>
              <w:bottom w:val="nil"/>
              <w:right w:val="single" w:color="000000" w:sz="4" w:space="0"/>
            </w:tcBorders>
            <w:shd w:val="clear" w:color="auto" w:fill="auto"/>
            <w:vAlign w:val="center"/>
          </w:tcPr>
          <w:p w14:paraId="6250D2BB">
            <w:pPr>
              <w:widowControl/>
              <w:spacing w:line="360" w:lineRule="auto"/>
              <w:ind w:firstLine="0" w:firstLineChars="0"/>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配置要求</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3157">
            <w:pPr>
              <w:widowControl/>
              <w:spacing w:line="360" w:lineRule="auto"/>
              <w:ind w:firstLine="0" w:firstLineChars="0"/>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★1个控制中心，100个Windows PC终端授权许可【提供杀毒+勒索防护+漏洞管理+资产管理+终端管控模块，客户端系统默认支持WindowsXP/VISTA/WIN7/WIN8/WIN10】，原厂三年程序版本与三年病毒库升级服务。</w:t>
            </w:r>
          </w:p>
        </w:tc>
      </w:tr>
      <w:tr w14:paraId="53F96EDC">
        <w:tblPrEx>
          <w:tblCellMar>
            <w:top w:w="0" w:type="dxa"/>
            <w:left w:w="108" w:type="dxa"/>
            <w:bottom w:w="0" w:type="dxa"/>
            <w:right w:w="108" w:type="dxa"/>
          </w:tblCellMar>
        </w:tblPrEx>
        <w:trPr>
          <w:trHeight w:val="101" w:hRule="atLeast"/>
        </w:trPr>
        <w:tc>
          <w:tcPr>
            <w:tcW w:w="751" w:type="dxa"/>
            <w:vMerge w:val="restart"/>
            <w:tcBorders>
              <w:top w:val="single" w:color="000000" w:sz="4" w:space="0"/>
              <w:left w:val="single" w:color="000000" w:sz="4" w:space="0"/>
              <w:bottom w:val="nil"/>
              <w:right w:val="single" w:color="000000" w:sz="4" w:space="0"/>
            </w:tcBorders>
            <w:shd w:val="clear" w:color="auto" w:fill="auto"/>
            <w:vAlign w:val="center"/>
          </w:tcPr>
          <w:p w14:paraId="50474E4B">
            <w:pPr>
              <w:widowControl/>
              <w:spacing w:line="360" w:lineRule="auto"/>
              <w:ind w:firstLine="0" w:firstLineChars="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基础功能</w:t>
            </w:r>
          </w:p>
        </w:tc>
        <w:tc>
          <w:tcPr>
            <w:tcW w:w="992" w:type="dxa"/>
            <w:tcBorders>
              <w:top w:val="single" w:color="000000" w:sz="4" w:space="0"/>
              <w:left w:val="single" w:color="000000" w:sz="4" w:space="0"/>
              <w:bottom w:val="nil"/>
              <w:right w:val="single" w:color="000000" w:sz="4" w:space="0"/>
            </w:tcBorders>
            <w:shd w:val="clear" w:color="auto" w:fill="auto"/>
            <w:vAlign w:val="center"/>
          </w:tcPr>
          <w:p w14:paraId="5A9360F2">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产品部署</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0B9D">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服务端控制中心支持多种部署环境，至少支持X86架构的CentOS 7.6/RedHat7/麒麟V10SP1、UOS20或ARM架构的麒麟V10/UOS20操作系统。支持单级或者多级部署环境，支持由一级服务器对二级服务器进行分发授权，可根据后期二级控制中心数量变化，可由管理员手工调整授权分配数量。（</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1E26F660">
        <w:tblPrEx>
          <w:tblCellMar>
            <w:top w:w="0" w:type="dxa"/>
            <w:left w:w="108" w:type="dxa"/>
            <w:bottom w:w="0" w:type="dxa"/>
            <w:right w:w="108" w:type="dxa"/>
          </w:tblCellMar>
        </w:tblPrEx>
        <w:trPr>
          <w:trHeight w:val="936"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231ECC2F">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6F8BEDE1">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系统兼容性</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C387">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客户端支持多类型操作系统同台管理，包括但不限于 Windows XP_SP3/Windows 7/Windows 8/Windows 10/macOS/CentOS，Ubuntu/龙蜥操作系统等，支持英文版操作系统。支持对国产终端进行统一管理，包括但不限于麒麟V10/麒麟V10 SP1/统信UOS。</w:t>
            </w:r>
          </w:p>
        </w:tc>
      </w:tr>
      <w:tr w14:paraId="243897DE">
        <w:tblPrEx>
          <w:tblCellMar>
            <w:top w:w="0" w:type="dxa"/>
            <w:left w:w="108" w:type="dxa"/>
            <w:bottom w:w="0" w:type="dxa"/>
            <w:right w:w="108" w:type="dxa"/>
          </w:tblCellMar>
        </w:tblPrEx>
        <w:trPr>
          <w:trHeight w:val="1248"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57C67CAB">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8402">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数据联动</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4367">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产品支持对第三方提供数据接口，支持获取的数据包括客户端安装数量、客户端版本统计、操作系统统计、病毒库版本统计、补丁库版本统计、违规外联统计等；支持获取分组列表、终端列表信息；支持查询终端软件、硬件、资产登记信息。产品支持告警数据以syslog方式外发至第三方服务器，支持杀毒管理/漏洞修复/系统修复/安全防护等类型数据外发。</w:t>
            </w:r>
          </w:p>
        </w:tc>
      </w:tr>
      <w:tr w14:paraId="6DEB7940">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2A26E422">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310AC6F1">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模块化部署</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D62F">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支持对Windows客户端进行模块化部署，按照管理需求给客户端分配模块，客户端按照已勾选的功能模块进行安装和运行。（</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提供产品界面截图）</w:t>
            </w:r>
          </w:p>
        </w:tc>
      </w:tr>
      <w:tr w14:paraId="65BC683A">
        <w:tblPrEx>
          <w:tblCellMar>
            <w:top w:w="0" w:type="dxa"/>
            <w:left w:w="108" w:type="dxa"/>
            <w:bottom w:w="0" w:type="dxa"/>
            <w:right w:w="108" w:type="dxa"/>
          </w:tblCellMar>
        </w:tblPrEx>
        <w:trPr>
          <w:trHeight w:val="1248"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7D978495">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3D8B">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管理员账号安全</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C94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管理员账号管理，支持配置管理员登录锁定阈值；支持配置管理员账户登录白名单；支持对管理员账户登录或高危操作进行多因子认证，包括动态口令二次认证且可通过微信小程序查看动态口令，支持多因子认证的高危操作包括账号添加修改、重置密码、重置二维码、文件分发等。（</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ED85536">
        <w:tblPrEx>
          <w:tblCellMar>
            <w:top w:w="0" w:type="dxa"/>
            <w:left w:w="108" w:type="dxa"/>
            <w:bottom w:w="0" w:type="dxa"/>
            <w:right w:w="108" w:type="dxa"/>
          </w:tblCellMar>
        </w:tblPrEx>
        <w:trPr>
          <w:trHeight w:val="936"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07F759F5">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BA29">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客户端自我保护</w:t>
            </w: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15EC8C8A">
            <w:pPr>
              <w:widowControl/>
              <w:spacing w:line="360" w:lineRule="auto"/>
              <w:ind w:firstLine="0" w:firstLineChars="0"/>
              <w:jc w:val="left"/>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支持设置客户端保护功能，支持客户端不被恶意结束、管理员可设置客户端防卸载，防退出密码，当客户端程序退出或卸载时需要输入正确的密码才可以进行下一步。终端退出/卸载密码支持固定和动态密码两种方式。（</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911605E">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3C49D29B">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63EA">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终端反馈</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FF84">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★支持终端用户提交故障信息并可上传相关附件，管理员收到信息后可查阅并处理。支持终端用户提交意见反馈信息，管理员收到信息后可查阅并处理。（</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830BD38">
        <w:tblPrEx>
          <w:tblCellMar>
            <w:top w:w="0" w:type="dxa"/>
            <w:left w:w="108" w:type="dxa"/>
            <w:bottom w:w="0" w:type="dxa"/>
            <w:right w:w="108" w:type="dxa"/>
          </w:tblCellMar>
        </w:tblPrEx>
        <w:trPr>
          <w:trHeight w:val="936"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1AAAC1D4">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23DAA707">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客户端迁移</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763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新管控中心支持IP或者域名的形式进行终端迁移，并对新地址管控中心进行连接状态探测。支持针对分组或者整体终端列表进行迁移操作，以任务形式呈现迁移进度，可查看每个终端的迁移状态。（</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59128590">
        <w:tblPrEx>
          <w:tblCellMar>
            <w:top w:w="0" w:type="dxa"/>
            <w:left w:w="108" w:type="dxa"/>
            <w:bottom w:w="0" w:type="dxa"/>
            <w:right w:w="108" w:type="dxa"/>
          </w:tblCellMar>
        </w:tblPrEx>
        <w:trPr>
          <w:trHeight w:val="423"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70D7E681">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E8E9">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功能定制</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0AD5">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菜单定制：支持对客户端功能界面进行定制，可设置客户端显示的菜单项，支持对菜单名称进行自定义名称修改，可对菜单的显示顺序进行排序；支持对客户端菜单功能里的功能项是否隐藏进行配置，如隐藏客户端杀毒引擎设置等。（</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7F56D3EE">
        <w:tblPrEx>
          <w:tblCellMar>
            <w:top w:w="0" w:type="dxa"/>
            <w:left w:w="108" w:type="dxa"/>
            <w:bottom w:w="0" w:type="dxa"/>
            <w:right w:w="108" w:type="dxa"/>
          </w:tblCellMar>
        </w:tblPrEx>
        <w:trPr>
          <w:trHeight w:val="90"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ACCA4">
            <w:pPr>
              <w:widowControl/>
              <w:spacing w:line="360" w:lineRule="auto"/>
              <w:ind w:firstLine="0" w:firstLineChars="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资产管理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758F">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资产统计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E1D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记录终端硬件信息，包括CPU型号、内存大小、硬盘、硬盘序列号、主板、主板ID（主机序列号）、显卡、网卡、声卡、显示器信息、BIOS序列号、BIOS版本日期以及设备ID等，支持导出硬件信息；可显示终端上次关机时间、本次开机时间。支持对终端软件资产进行统计，可查看单个终端的软件安装信息，包括软件名称、版本、安装时间等，</w:t>
            </w:r>
            <w:r>
              <w:rPr>
                <w:rFonts w:hint="eastAsia" w:ascii="宋体" w:hAnsi="宋体" w:eastAsia="宋体" w:cs="宋体"/>
                <w:b/>
                <w:bCs/>
                <w:color w:val="000000"/>
                <w:kern w:val="0"/>
                <w:szCs w:val="21"/>
                <w:lang w:bidi="ar"/>
              </w:rPr>
              <w:t>支持以软件维度统一对安装的终端下发软件卸载任务</w:t>
            </w:r>
            <w:r>
              <w:rPr>
                <w:rFonts w:hint="eastAsia" w:ascii="宋体" w:hAnsi="宋体" w:eastAsia="宋体" w:cs="宋体"/>
                <w:color w:val="000000"/>
                <w:kern w:val="0"/>
                <w:szCs w:val="21"/>
                <w:lang w:bidi="ar"/>
              </w:rPr>
              <w:t>。</w:t>
            </w:r>
          </w:p>
        </w:tc>
      </w:tr>
      <w:tr w14:paraId="35C55222">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D5CD4">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0529">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资产采集</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CF1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支持采集进程资产、开放端口、账户资产、启动项、计划任务、环境变量、运行服务等资产。支持终端、资产两个维度来查看，并支持一键检索。（</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0B5DDBC5">
        <w:tblPrEx>
          <w:tblCellMar>
            <w:top w:w="0" w:type="dxa"/>
            <w:left w:w="108" w:type="dxa"/>
            <w:bottom w:w="0" w:type="dxa"/>
            <w:right w:w="108" w:type="dxa"/>
          </w:tblCellMar>
        </w:tblPrEx>
        <w:trPr>
          <w:trHeight w:val="690"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CBA77">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5873">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资产风险</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F8EF">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★支持对终端资产是否存在风险进行检测，包括是否存在指定高危端口、是否存在不合规账户、是否存在不合规启动项、计划任务，是否使用未激活系统等。风险支持实时展示以及分类统计。（</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67EC7619">
        <w:tblPrEx>
          <w:tblCellMar>
            <w:top w:w="0" w:type="dxa"/>
            <w:left w:w="108" w:type="dxa"/>
            <w:bottom w:w="0" w:type="dxa"/>
            <w:right w:w="108" w:type="dxa"/>
          </w:tblCellMar>
        </w:tblPrEx>
        <w:trPr>
          <w:trHeight w:val="1248"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BA1B">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582477B9">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终端发现</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CCDA">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ARP、NMAP、NETBIOS\TCP_SYNC扫描方式对内网中的网络设备进行探测发现，可查看全网发现终端数、已安装客户端数、未安装客户端数以及不活跃终端数，显示全网或者分组客户端安装率、不活跃终端数量。支持的发现的终端类型包含IP电话、服务器、网络设备、AD服务器、摄像头、手机、打印机、无线AP、移动设备等。（</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54EC579C">
        <w:tblPrEx>
          <w:tblCellMar>
            <w:top w:w="0" w:type="dxa"/>
            <w:left w:w="108" w:type="dxa"/>
            <w:bottom w:w="0" w:type="dxa"/>
            <w:right w:w="108" w:type="dxa"/>
          </w:tblCellMar>
        </w:tblPrEx>
        <w:trPr>
          <w:trHeight w:val="1248"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B920B">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9E98">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资产登记</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E498">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设置客户端资产登记功能，可制定资产类型、资产用途、归属部门、使用人、手机、邮箱等信息，可设置登记项是否必填、是否显示；支持开启终端资产登记上报，支持设置登记提醒周期，每次开机提醒、每天固定时间提醒、开机常驻提醒；支持设置终端离线指定天数后，重新上报资产。（</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31BDB403">
        <w:tblPrEx>
          <w:tblCellMar>
            <w:top w:w="0" w:type="dxa"/>
            <w:left w:w="108" w:type="dxa"/>
            <w:bottom w:w="0" w:type="dxa"/>
            <w:right w:w="108" w:type="dxa"/>
          </w:tblCellMar>
        </w:tblPrEx>
        <w:trPr>
          <w:trHeight w:val="1248"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9E4F4">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6D010801">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实名认证</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46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产品支持与LDAP联动，加入域的客户端登录系统后可实现自动实名认证，未加入域的终端可弹框要求终端手工输入ldap账号密码认证。支持设置资产周期认证、开机认证。支持设置实名认证强制策略，对未完成实名认证的终端将会被锁屏，认证通过后，可自动解锁。（</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4C503956">
        <w:tblPrEx>
          <w:tblCellMar>
            <w:top w:w="0" w:type="dxa"/>
            <w:left w:w="108" w:type="dxa"/>
            <w:bottom w:w="0" w:type="dxa"/>
            <w:right w:w="108" w:type="dxa"/>
          </w:tblCellMar>
        </w:tblPrEx>
        <w:trPr>
          <w:trHeight w:val="936"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FA876">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4EDE9ABF">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资产同步</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018">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支持从LDAP同步组织架构、用户信息到产品中，无需手工创建分组。支持定期同步；产品支持LDAP实名认证后资产同步功能，终端通过认证后可按照终端认证的账号，将客户端自动调整到对应分组中。（</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0C07CE9F">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4724E">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719200E9">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终端资源监控</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E0A">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支持对终端性能进行监控，支持监测CPU使用率，超过阈值进行告警。监测内存使用率，超过阈值进行告警。监测硬盘使用情况，剩余空间不够时进行告警。</w:t>
            </w:r>
          </w:p>
        </w:tc>
      </w:tr>
      <w:tr w14:paraId="4CA10AE6">
        <w:tblPrEx>
          <w:tblCellMar>
            <w:top w:w="0" w:type="dxa"/>
            <w:left w:w="108" w:type="dxa"/>
            <w:bottom w:w="0" w:type="dxa"/>
            <w:right w:w="108" w:type="dxa"/>
          </w:tblCellMar>
        </w:tblPrEx>
        <w:trPr>
          <w:trHeight w:val="624" w:hRule="atLeast"/>
        </w:trPr>
        <w:tc>
          <w:tcPr>
            <w:tcW w:w="751" w:type="dxa"/>
            <w:vMerge w:val="restart"/>
            <w:tcBorders>
              <w:top w:val="nil"/>
              <w:left w:val="single" w:color="000000" w:sz="4" w:space="0"/>
              <w:bottom w:val="nil"/>
              <w:right w:val="single" w:color="000000" w:sz="4" w:space="0"/>
            </w:tcBorders>
            <w:shd w:val="clear" w:color="auto" w:fill="auto"/>
            <w:vAlign w:val="center"/>
          </w:tcPr>
          <w:p w14:paraId="228E6AF4">
            <w:pPr>
              <w:widowControl/>
              <w:spacing w:line="360" w:lineRule="auto"/>
              <w:ind w:firstLine="0" w:firstLineChars="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防病毒相关</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9C72A">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反病毒引擎</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7CC3">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★具备云端样本鉴定能力，云端具备310亿+样本数据，有效针对各种病毒文件进行查杀。（</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w:t>
            </w:r>
            <w:r>
              <w:rPr>
                <w:rFonts w:hint="eastAsia" w:ascii="宋体" w:hAnsi="宋体" w:eastAsia="宋体" w:cs="宋体"/>
                <w:color w:val="000000"/>
                <w:kern w:val="0"/>
                <w:szCs w:val="21"/>
                <w:lang w:val="en-US" w:eastAsia="zh-CN" w:bidi="ar"/>
              </w:rPr>
              <w:t>厂家</w:t>
            </w:r>
            <w:r>
              <w:rPr>
                <w:rFonts w:hint="eastAsia" w:ascii="宋体" w:hAnsi="宋体" w:eastAsia="宋体" w:cs="宋体"/>
                <w:color w:val="000000"/>
                <w:kern w:val="0"/>
                <w:szCs w:val="21"/>
                <w:lang w:bidi="ar"/>
              </w:rPr>
              <w:t>官网截图）</w:t>
            </w:r>
          </w:p>
        </w:tc>
      </w:tr>
      <w:tr w14:paraId="2A184357">
        <w:tblPrEx>
          <w:tblCellMar>
            <w:top w:w="0" w:type="dxa"/>
            <w:left w:w="108" w:type="dxa"/>
            <w:bottom w:w="0" w:type="dxa"/>
            <w:right w:w="108" w:type="dxa"/>
          </w:tblCellMar>
        </w:tblPrEx>
        <w:trPr>
          <w:trHeight w:val="936"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592BED06">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0E65C">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0F78">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产品需支持多引擎查杀技术，至少包括云查杀引擎、大数据特征引擎、人工智能引擎、脚本引擎等4个引擎，客户端支持以图形化方式展示各个引擎的信息,以确保产品可适应不同环境。（</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DF5C519">
        <w:tblPrEx>
          <w:tblCellMar>
            <w:top w:w="0" w:type="dxa"/>
            <w:left w:w="108" w:type="dxa"/>
            <w:bottom w:w="0" w:type="dxa"/>
            <w:right w:w="108" w:type="dxa"/>
          </w:tblCellMar>
        </w:tblPrEx>
        <w:trPr>
          <w:trHeight w:val="624"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7FDC24C9">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C3E76">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100F">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★支持产品在断网状态下具备不依赖病毒库特征的情况下对未知病毒查杀的能力。（</w:t>
            </w:r>
            <w:r>
              <w:rPr>
                <w:rFonts w:hint="eastAsia" w:ascii="宋体" w:hAnsi="宋体" w:eastAsia="宋体" w:cs="宋体"/>
                <w:color w:val="000000"/>
                <w:kern w:val="0"/>
                <w:szCs w:val="21"/>
                <w:lang w:val="en-US" w:eastAsia="zh-CN" w:bidi="ar"/>
              </w:rPr>
              <w:t>投标时提供证明材料</w:t>
            </w:r>
            <w:r>
              <w:rPr>
                <w:rFonts w:hint="eastAsia" w:ascii="宋体" w:hAnsi="宋体" w:eastAsia="宋体" w:cs="宋体"/>
                <w:color w:val="000000"/>
                <w:kern w:val="0"/>
                <w:szCs w:val="21"/>
                <w:lang w:bidi="ar"/>
              </w:rPr>
              <w:t>）</w:t>
            </w:r>
          </w:p>
        </w:tc>
      </w:tr>
      <w:tr w14:paraId="53BE32E3">
        <w:tblPrEx>
          <w:tblCellMar>
            <w:top w:w="0" w:type="dxa"/>
            <w:left w:w="108" w:type="dxa"/>
            <w:bottom w:w="0" w:type="dxa"/>
            <w:right w:w="108" w:type="dxa"/>
          </w:tblCellMar>
        </w:tblPrEx>
        <w:trPr>
          <w:trHeight w:val="1248"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48972C05">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90C8">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481C">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病毒功能要支持脚本类型的病毒查杀，支持基于脚本类型判断的病毒检测相关技术，通过预设数量的脚本作为样本，计算特征向量建立分类模型，由此建立的分类模型可以对待测脚本的类型进行判定，根据判定结果把脚本提供给对应的脚本引擎进行处理。（</w:t>
            </w:r>
            <w:r>
              <w:rPr>
                <w:rFonts w:hint="eastAsia" w:ascii="宋体" w:hAnsi="宋体" w:eastAsia="宋体" w:cs="宋体"/>
                <w:color w:val="000000"/>
                <w:kern w:val="0"/>
                <w:szCs w:val="21"/>
                <w:lang w:val="en-US" w:eastAsia="zh-CN" w:bidi="ar"/>
              </w:rPr>
              <w:t>投标时提供证明材料</w:t>
            </w:r>
            <w:r>
              <w:rPr>
                <w:rFonts w:hint="eastAsia" w:ascii="宋体" w:hAnsi="宋体" w:eastAsia="宋体" w:cs="宋体"/>
                <w:color w:val="000000"/>
                <w:kern w:val="0"/>
                <w:szCs w:val="21"/>
                <w:lang w:bidi="ar"/>
              </w:rPr>
              <w:t>）</w:t>
            </w:r>
          </w:p>
        </w:tc>
      </w:tr>
      <w:tr w14:paraId="6BFD5B9C">
        <w:tblPrEx>
          <w:tblCellMar>
            <w:top w:w="0" w:type="dxa"/>
            <w:left w:w="108" w:type="dxa"/>
            <w:bottom w:w="0" w:type="dxa"/>
            <w:right w:w="108" w:type="dxa"/>
          </w:tblCellMar>
        </w:tblPrEx>
        <w:trPr>
          <w:trHeight w:val="357"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42B30AB4">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E65DE">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49E">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防病毒要具备自我学习的机制，提高隔离网环境下病毒查杀能力。支持基于机器学习的程序识别方法，通过对海量样本进行分析，得到识别恶意程序的模型，发现程序内在规律，对未发生的恶意程序进行预防。（</w:t>
            </w:r>
            <w:r>
              <w:rPr>
                <w:rFonts w:hint="eastAsia" w:ascii="宋体" w:hAnsi="宋体" w:eastAsia="宋体" w:cs="宋体"/>
                <w:color w:val="000000"/>
                <w:kern w:val="0"/>
                <w:szCs w:val="21"/>
                <w:lang w:val="en-US" w:eastAsia="zh-CN" w:bidi="ar"/>
              </w:rPr>
              <w:t>投标时提供证明材料</w:t>
            </w:r>
            <w:r>
              <w:rPr>
                <w:rFonts w:hint="eastAsia" w:ascii="宋体" w:hAnsi="宋体" w:eastAsia="宋体" w:cs="宋体"/>
                <w:color w:val="000000"/>
                <w:kern w:val="0"/>
                <w:szCs w:val="21"/>
                <w:lang w:bidi="ar"/>
              </w:rPr>
              <w:t>）</w:t>
            </w:r>
          </w:p>
        </w:tc>
      </w:tr>
      <w:tr w14:paraId="076ED51C">
        <w:tblPrEx>
          <w:tblCellMar>
            <w:top w:w="0" w:type="dxa"/>
            <w:left w:w="108" w:type="dxa"/>
            <w:bottom w:w="0" w:type="dxa"/>
            <w:right w:w="108" w:type="dxa"/>
          </w:tblCellMar>
        </w:tblPrEx>
        <w:trPr>
          <w:trHeight w:val="312"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71B0642F">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04A4D">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1CC1">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获取病毒样本、管理员可以通过管理中心，远程获取客户端隔离区病毒样本文件。</w:t>
            </w:r>
          </w:p>
        </w:tc>
      </w:tr>
      <w:tr w14:paraId="15142C1F">
        <w:tblPrEx>
          <w:tblCellMar>
            <w:top w:w="0" w:type="dxa"/>
            <w:left w:w="108" w:type="dxa"/>
            <w:bottom w:w="0" w:type="dxa"/>
            <w:right w:w="108" w:type="dxa"/>
          </w:tblCellMar>
        </w:tblPrEx>
        <w:trPr>
          <w:trHeight w:val="624"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41F2411B">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750D">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宏病毒专查杀</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336A">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产品需具备宏病毒查杀能力，需提供宏病毒专项扫描功能，终端用户可对客户端执行宏病毒扫描，发现是否存在宏病毒。（</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65D34CF8">
        <w:tblPrEx>
          <w:tblCellMar>
            <w:top w:w="0" w:type="dxa"/>
            <w:left w:w="108" w:type="dxa"/>
            <w:bottom w:w="0" w:type="dxa"/>
            <w:right w:w="108" w:type="dxa"/>
          </w:tblCellMar>
        </w:tblPrEx>
        <w:trPr>
          <w:trHeight w:val="936"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41ED6718">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4B98E8A6">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防杀毒风暴</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F57B">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★支持对云平台虚拟机和物理机的映射关系进行手动导入，可展示虚拟机名称、IP地址、MAC地址和Agent安装状态。对单台物理机上的虚拟机扫描查杀任务并发数量进行限制避免查杀风暴。（</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7911D1F0">
        <w:tblPrEx>
          <w:tblCellMar>
            <w:top w:w="0" w:type="dxa"/>
            <w:left w:w="108" w:type="dxa"/>
            <w:bottom w:w="0" w:type="dxa"/>
            <w:right w:w="108" w:type="dxa"/>
          </w:tblCellMar>
        </w:tblPrEx>
        <w:trPr>
          <w:trHeight w:val="936"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763CA566">
            <w:pPr>
              <w:spacing w:line="360" w:lineRule="auto"/>
              <w:ind w:firstLine="0" w:firstLineChars="0"/>
              <w:jc w:val="center"/>
              <w:rPr>
                <w:rFonts w:hint="eastAsia" w:ascii="宋体" w:hAnsi="宋体" w:eastAsia="宋体" w:cs="宋体"/>
                <w:color w:val="000000"/>
                <w:szCs w:val="21"/>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23C0F">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扫描策略</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C49E">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支持在服务端对客户端下发多种扫描指令，包括快速扫描、全盘扫描、强力扫描等；支持对客户端系统设置、常用软件、内存活跃程序、开机启动项以及系统关键位置进行扫描。支持设置扫描任务有效期。（</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1EE90933">
        <w:tblPrEx>
          <w:tblCellMar>
            <w:top w:w="0" w:type="dxa"/>
            <w:left w:w="108" w:type="dxa"/>
            <w:bottom w:w="0" w:type="dxa"/>
            <w:right w:w="108" w:type="dxa"/>
          </w:tblCellMar>
        </w:tblPrEx>
        <w:trPr>
          <w:trHeight w:val="936"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3BAFDDA6">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EDB6">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591A">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支持对压缩包进行扫描，可设置压缩包的扫描层数，最大扫描压缩包的大小。防病毒软件支持对扫描文件类型进行配置，可选择所有文件、仅程序和文档以提高检测效率。（</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546D9AA1">
        <w:tblPrEx>
          <w:tblCellMar>
            <w:top w:w="0" w:type="dxa"/>
            <w:left w:w="108" w:type="dxa"/>
            <w:bottom w:w="0" w:type="dxa"/>
            <w:right w:w="108" w:type="dxa"/>
          </w:tblCellMar>
        </w:tblPrEx>
        <w:trPr>
          <w:trHeight w:val="624"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6D129954">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275E">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防感染模式</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4B17">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产品支持设置发现病毒后的自动处理方式，可设置为系统自动处理或手动处理；扫描到感染型病毒时，自动进入防感染模式，重新开始全盘扫描并阻止恶意样本反复感染文件。</w:t>
            </w:r>
          </w:p>
        </w:tc>
      </w:tr>
      <w:tr w14:paraId="25715E88">
        <w:tblPrEx>
          <w:tblCellMar>
            <w:top w:w="0" w:type="dxa"/>
            <w:left w:w="108" w:type="dxa"/>
            <w:bottom w:w="0" w:type="dxa"/>
            <w:right w:w="108" w:type="dxa"/>
          </w:tblCellMar>
        </w:tblPrEx>
        <w:trPr>
          <w:trHeight w:val="960"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0BD1F433">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F69D">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资源占用</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8D59">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提供人性化的扫描控制策略，服务端可限制客户端暂停或停止扫描任务，可控制是否扫描网络映射驱动器，支持速度最快、性能最佳、自定义三种查杀模式。支持自定义设置病毒查杀时，占用的CPU使用百分比、和内存占用的最大值。（</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0184693A">
        <w:tblPrEx>
          <w:tblCellMar>
            <w:top w:w="0" w:type="dxa"/>
            <w:left w:w="108" w:type="dxa"/>
            <w:bottom w:w="0" w:type="dxa"/>
            <w:right w:w="108" w:type="dxa"/>
          </w:tblCellMar>
        </w:tblPrEx>
        <w:trPr>
          <w:trHeight w:val="936"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09446106">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DFF3">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系统修复</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2CAB">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支持客户端系统插件修复功能，通过服务端对客户端下发系统扫描指令，可扫描客户端IE浏览器插件、远程桌面启用、桌面快捷方式等设置是否安全，管理员能够执行批量修复或设置信任。（</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0D975E05">
        <w:tblPrEx>
          <w:tblCellMar>
            <w:top w:w="0" w:type="dxa"/>
            <w:left w:w="108" w:type="dxa"/>
            <w:bottom w:w="0" w:type="dxa"/>
            <w:right w:w="108" w:type="dxa"/>
          </w:tblCellMar>
        </w:tblPrEx>
        <w:trPr>
          <w:trHeight w:val="1248"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4FC58606">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67B3779C">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安全区</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8265">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可设置终端隔离区大小，当隔离区已使用空间达到上限90%时，可自动清理隔离区中超过指定时长的文件。支持周期性的上报隔离区、阻止区、信任区的数据，至少支持设置1/7/15天等周期，支持设置文件与路径白名单、MD5白名单、后缀白名单、可禁止终端用户添加文件和路径白名单。（</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提供功能截图）</w:t>
            </w:r>
          </w:p>
        </w:tc>
      </w:tr>
      <w:tr w14:paraId="106C9E9A">
        <w:tblPrEx>
          <w:tblCellMar>
            <w:top w:w="0" w:type="dxa"/>
            <w:left w:w="108" w:type="dxa"/>
            <w:bottom w:w="0" w:type="dxa"/>
            <w:right w:w="108" w:type="dxa"/>
          </w:tblCellMar>
        </w:tblPrEx>
        <w:trPr>
          <w:trHeight w:val="936"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02FEAD14">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81C6">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病毒库升级</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7AE6">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从服务端给客户端下发病毒库立即升级指令，升级客户端病毒库。支持终端用户手动更新病毒库版本，支持离线更新客户端病毒库。支持从互联网、管理中心、升级服务器进行升级，支持仅互联网、仅内网、优先互联网、优先内网四种升级策略。</w:t>
            </w:r>
          </w:p>
        </w:tc>
      </w:tr>
      <w:tr w14:paraId="2DAD7F8A">
        <w:tblPrEx>
          <w:tblCellMar>
            <w:top w:w="0" w:type="dxa"/>
            <w:left w:w="108" w:type="dxa"/>
            <w:bottom w:w="0" w:type="dxa"/>
            <w:right w:w="108" w:type="dxa"/>
          </w:tblCellMar>
        </w:tblPrEx>
        <w:trPr>
          <w:trHeight w:val="1000"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320D33A4">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EF2C">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病毒日志</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Pr>
          <w:p w14:paraId="1D1E4799">
            <w:pPr>
              <w:widowControl/>
              <w:spacing w:line="360" w:lineRule="auto"/>
              <w:ind w:firstLine="0" w:firstLineChars="0"/>
              <w:jc w:val="left"/>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支持查看当日内网整体终端勒索病毒、宏病毒、感染型病毒、挖坑病毒、远控木马、黑客工具进行分类统计，可根据周、月为单位生成防病毒报告；支持对内网病毒日志自动关联攻击团伙/家族功能，可以攻击团伙/家族维度查看内网终端感染情况；支持根据病毒日志对未处理的病毒，远程一键处置。（</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5E212BC0">
        <w:tblPrEx>
          <w:tblCellMar>
            <w:top w:w="0" w:type="dxa"/>
            <w:left w:w="108" w:type="dxa"/>
            <w:bottom w:w="0" w:type="dxa"/>
            <w:right w:w="108" w:type="dxa"/>
          </w:tblCellMar>
        </w:tblPrEx>
        <w:trPr>
          <w:trHeight w:val="624"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7402AB7E">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033A">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病毒团伙/家族情报</w:t>
            </w:r>
          </w:p>
        </w:tc>
        <w:tc>
          <w:tcPr>
            <w:tcW w:w="6804" w:type="dxa"/>
            <w:tcBorders>
              <w:top w:val="single" w:color="000000" w:sz="4" w:space="0"/>
              <w:left w:val="single" w:color="000000" w:sz="4" w:space="0"/>
              <w:bottom w:val="single" w:color="000000" w:sz="4" w:space="0"/>
              <w:right w:val="single" w:color="000000" w:sz="4" w:space="0"/>
            </w:tcBorders>
            <w:shd w:val="clear" w:color="auto" w:fill="FFFFFF"/>
          </w:tcPr>
          <w:p w14:paraId="54DA84B0">
            <w:pPr>
              <w:widowControl/>
              <w:spacing w:line="360" w:lineRule="auto"/>
              <w:ind w:firstLine="0" w:firstLineChars="0"/>
              <w:jc w:val="left"/>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依据内网病毒查杀日志关联病毒家族/团伙信息，信息包括威胁类型、传播方式、特点、简介以及处置建议。每个家族/团伙所关联的病毒查杀记录。（</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643F0833">
        <w:tblPrEx>
          <w:tblCellMar>
            <w:top w:w="0" w:type="dxa"/>
            <w:left w:w="108" w:type="dxa"/>
            <w:bottom w:w="0" w:type="dxa"/>
            <w:right w:w="108" w:type="dxa"/>
          </w:tblCellMar>
        </w:tblPrEx>
        <w:trPr>
          <w:trHeight w:val="936"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39986075">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3E13">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APT防护</w:t>
            </w: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4E8F2303">
            <w:pPr>
              <w:widowControl/>
              <w:spacing w:line="360" w:lineRule="auto"/>
              <w:ind w:firstLine="0" w:firstLineChars="0"/>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★提供APT全景雷达：内置55个APT组织情报信息（包括介绍、MD5、CC域名、常用漏洞等）、25000+APT IOC情报库，支持按照已知的APT情报对内网进行APT攻击痕迹检测，判断终端是否存在已知APT攻击行为；支持对存在APT漏洞风险的终端进行分类统计。（</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10EB3A0A">
        <w:tblPrEx>
          <w:tblCellMar>
            <w:top w:w="0" w:type="dxa"/>
            <w:left w:w="108" w:type="dxa"/>
            <w:bottom w:w="0" w:type="dxa"/>
            <w:right w:w="108" w:type="dxa"/>
          </w:tblCellMar>
        </w:tblPrEx>
        <w:trPr>
          <w:trHeight w:val="936"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612A6BC2">
            <w:pPr>
              <w:spacing w:line="360" w:lineRule="auto"/>
              <w:ind w:firstLine="0" w:firstLineChars="0"/>
              <w:jc w:val="center"/>
              <w:rPr>
                <w:rFonts w:hint="eastAsia" w:ascii="宋体" w:hAnsi="宋体" w:eastAsia="宋体" w:cs="宋体"/>
                <w:color w:val="000000"/>
                <w:szCs w:val="21"/>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4EC83">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系统风险防御</w:t>
            </w: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27A21ACF">
            <w:pPr>
              <w:widowControl/>
              <w:spacing w:line="360" w:lineRule="auto"/>
              <w:ind w:firstLine="0" w:firstLineChars="0"/>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针对Windows终端，提供统系统风险防御功能：包含网络行为防护、摄像头防护、文件系统防护、风险驱动防护、风险进程防护、注册表防护、系统安全防护、键盘记录防护、软件权限管理；支持自动分析拦截下列网络行为。（</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416A3795">
        <w:tblPrEx>
          <w:tblCellMar>
            <w:top w:w="0" w:type="dxa"/>
            <w:left w:w="108" w:type="dxa"/>
            <w:bottom w:w="0" w:type="dxa"/>
            <w:right w:w="108" w:type="dxa"/>
          </w:tblCellMar>
        </w:tblPrEx>
        <w:trPr>
          <w:trHeight w:val="624"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2B1E4602">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0934B">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50CF728C">
            <w:pPr>
              <w:widowControl/>
              <w:spacing w:line="360" w:lineRule="auto"/>
              <w:ind w:firstLine="0" w:firstLineChars="0"/>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★针对Windows64位操作系统，可利用CPU的硬件虚拟化机制，增强64位系统的安全防护，提供核晶防护功能。（</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497B97DB">
        <w:tblPrEx>
          <w:tblCellMar>
            <w:top w:w="0" w:type="dxa"/>
            <w:left w:w="108" w:type="dxa"/>
            <w:bottom w:w="0" w:type="dxa"/>
            <w:right w:w="108" w:type="dxa"/>
          </w:tblCellMar>
        </w:tblPrEx>
        <w:trPr>
          <w:trHeight w:val="936"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22E316FD">
            <w:pPr>
              <w:spacing w:line="360" w:lineRule="auto"/>
              <w:ind w:firstLine="0" w:firstLineChars="0"/>
              <w:jc w:val="center"/>
              <w:rPr>
                <w:rFonts w:hint="eastAsia" w:ascii="宋体" w:hAnsi="宋体" w:eastAsia="宋体" w:cs="宋体"/>
                <w:color w:val="000000"/>
                <w:szCs w:val="21"/>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5A2CD">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上网风险防御</w:t>
            </w: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767389D5">
            <w:pPr>
              <w:widowControl/>
              <w:spacing w:line="360" w:lineRule="auto"/>
              <w:ind w:firstLine="0" w:firstLineChars="0"/>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针对Windows终端，提上网风险防御功能：包含钓鱼挂马防护、网购安全防护、搜索安全防护、恶意邮件防护（监测outlook、网易邮件大师等邮件客户端中对方发来网址的安全性）、首页篡改防护（如IE、Edge、360浏览器），支持自定义设置首页URL地址。（</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F721BC7">
        <w:tblPrEx>
          <w:tblCellMar>
            <w:top w:w="0" w:type="dxa"/>
            <w:left w:w="108" w:type="dxa"/>
            <w:bottom w:w="0" w:type="dxa"/>
            <w:right w:w="108" w:type="dxa"/>
          </w:tblCellMar>
        </w:tblPrEx>
        <w:trPr>
          <w:trHeight w:val="1248"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257D808E">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992D0">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1C421D7E">
            <w:pPr>
              <w:widowControl/>
              <w:spacing w:line="360" w:lineRule="auto"/>
              <w:ind w:firstLine="0" w:firstLineChars="0"/>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支持桌面图标监控，桌面图标修改时会提示。支持软件安装防护，安装软件时净化掉不需要的软件，保持电脑干净、快速。支持开启挂马网站拦截功能，支持自动拦截网页中的欺诈信息，自动拦截网页中的危险Flash文件，支持强力修复浏览器首页、支持使用URL云查询功能。（</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53EEFDD8">
        <w:tblPrEx>
          <w:tblCellMar>
            <w:top w:w="0" w:type="dxa"/>
            <w:left w:w="108" w:type="dxa"/>
            <w:bottom w:w="0" w:type="dxa"/>
            <w:right w:w="108" w:type="dxa"/>
          </w:tblCellMar>
        </w:tblPrEx>
        <w:trPr>
          <w:trHeight w:val="1560"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47A07330">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E6BB">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入口风险防御</w:t>
            </w: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6CF37C28">
            <w:pPr>
              <w:widowControl/>
              <w:spacing w:line="360" w:lineRule="auto"/>
              <w:ind w:firstLine="0" w:firstLineChars="0"/>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提供入口防护功能：包含聊天安全防护、下载病毒查杀、U盘病毒查杀、ARP防护，网络漏洞防护、变形虫防护；支持聊天安全防护功能：支持检测聊天工具传输文件的安全性，支持安全文件自动去除.重命名，支持顶级聊天软件中发来的网址时，自动检测安全性，添加陌生聊天号码时，自动检测安全性。持U盘安全防护，支持插入U盘后，自动安全检测；支持对黑客常用的风险工具和远控工具进行风险防御。（</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388952EB">
        <w:tblPrEx>
          <w:tblCellMar>
            <w:top w:w="0" w:type="dxa"/>
            <w:left w:w="108" w:type="dxa"/>
            <w:bottom w:w="0" w:type="dxa"/>
            <w:right w:w="108" w:type="dxa"/>
          </w:tblCellMar>
        </w:tblPrEx>
        <w:trPr>
          <w:trHeight w:val="1248"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128D364A">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8129">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高级威胁防御</w:t>
            </w: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1A2FD84A">
            <w:pPr>
              <w:widowControl/>
              <w:spacing w:line="360" w:lineRule="auto"/>
              <w:ind w:firstLine="0" w:firstLineChars="0"/>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提供高级威胁防护功能：包含横向渗透防护、无文件攻击防护、软件劫持防护、恶意提权攻击防护等功能，其中横向渗透防护包括远程服务创建防护、远程注册表篡改防护、远程COM组件调用防护、远程计划任务创建防护、远程WMI命令执行防护、远程系统工具进程启动防护等常用横向渗透手段的防护。（</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54706C5B">
        <w:tblPrEx>
          <w:tblCellMar>
            <w:top w:w="0" w:type="dxa"/>
            <w:left w:w="108" w:type="dxa"/>
            <w:bottom w:w="0" w:type="dxa"/>
            <w:right w:w="108" w:type="dxa"/>
          </w:tblCellMar>
        </w:tblPrEx>
        <w:trPr>
          <w:trHeight w:val="312"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073ED884">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FCF3">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风险工具防御</w:t>
            </w: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0768A436">
            <w:pPr>
              <w:widowControl/>
              <w:spacing w:line="360" w:lineRule="auto"/>
              <w:ind w:firstLine="0" w:firstLineChars="0"/>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★支持对风险类工具和黑客类工具的防护和检查。（</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0A8F4159">
        <w:tblPrEx>
          <w:tblCellMar>
            <w:top w:w="0" w:type="dxa"/>
            <w:left w:w="108" w:type="dxa"/>
            <w:bottom w:w="0" w:type="dxa"/>
            <w:right w:w="108" w:type="dxa"/>
          </w:tblCellMar>
        </w:tblPrEx>
        <w:trPr>
          <w:trHeight w:val="423" w:hRule="atLeast"/>
        </w:trPr>
        <w:tc>
          <w:tcPr>
            <w:tcW w:w="751" w:type="dxa"/>
            <w:vMerge w:val="continue"/>
            <w:tcBorders>
              <w:top w:val="nil"/>
              <w:left w:val="single" w:color="000000" w:sz="4" w:space="0"/>
              <w:bottom w:val="nil"/>
              <w:right w:val="single" w:color="000000" w:sz="4" w:space="0"/>
            </w:tcBorders>
            <w:shd w:val="clear" w:color="auto" w:fill="auto"/>
            <w:vAlign w:val="center"/>
          </w:tcPr>
          <w:p w14:paraId="77F9B67F">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255D">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勒索风险防御</w:t>
            </w:r>
          </w:p>
        </w:tc>
        <w:tc>
          <w:tcPr>
            <w:tcW w:w="6804" w:type="dxa"/>
            <w:tcBorders>
              <w:top w:val="single" w:color="000000" w:sz="4" w:space="0"/>
              <w:left w:val="single" w:color="000000" w:sz="4" w:space="0"/>
              <w:bottom w:val="single" w:color="000000" w:sz="4" w:space="0"/>
              <w:right w:val="single" w:color="000000" w:sz="4" w:space="0"/>
            </w:tcBorders>
            <w:shd w:val="clear" w:color="auto" w:fill="auto"/>
          </w:tcPr>
          <w:p w14:paraId="0F354B1D">
            <w:pPr>
              <w:widowControl/>
              <w:spacing w:line="360" w:lineRule="auto"/>
              <w:ind w:firstLine="0" w:firstLineChars="0"/>
              <w:textAlignment w:val="top"/>
              <w:rPr>
                <w:rFonts w:hint="eastAsia" w:ascii="宋体" w:hAnsi="宋体" w:eastAsia="宋体" w:cs="宋体"/>
                <w:color w:val="000000"/>
                <w:szCs w:val="21"/>
              </w:rPr>
            </w:pPr>
            <w:r>
              <w:rPr>
                <w:rFonts w:hint="eastAsia" w:ascii="宋体" w:hAnsi="宋体" w:eastAsia="宋体" w:cs="宋体"/>
                <w:color w:val="000000"/>
                <w:kern w:val="0"/>
                <w:szCs w:val="21"/>
                <w:lang w:bidi="ar"/>
              </w:rPr>
              <w:t>★支持黑客入侵防护，自动阻止高风险的远程登录行为、自动阻止高风险的数据库远程登录行为；支持文档图片防护：支持文档图片防护功能，保护文档、图片不被木马病毒加密破坏，如CTB-Locker等；支持对指定终端的登陆、远程登陆增加二次认证控制，除了系统口令外，需结合动态口令完成登陆。动态口令基于TOTP的时钟一次性密钥、支持隔离可疑程序客户端支持勒索远控急救，包括禁用模拟点击、截屏行为、对系统进程、网络、文件的访问进行严格控制、对弱口令、疑似黑客工具及远程软件进行扫描。（</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39523A8C">
        <w:tblPrEx>
          <w:tblCellMar>
            <w:top w:w="0" w:type="dxa"/>
            <w:left w:w="108" w:type="dxa"/>
            <w:bottom w:w="0" w:type="dxa"/>
            <w:right w:w="108" w:type="dxa"/>
          </w:tblCellMar>
        </w:tblPrEx>
        <w:trPr>
          <w:trHeight w:val="936"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AB472">
            <w:pPr>
              <w:widowControl/>
              <w:spacing w:line="360" w:lineRule="auto"/>
              <w:ind w:firstLine="0" w:firstLineChars="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勒索防护</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4D55">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智能备份配置</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08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本地智能备份：支持对常用文档格式进行备份，如：.doc、docx、xls、xlsx、ppt、pptx、pdf，并支持文档类型自定义；可定义智能备份的位置，备份时机，及周期定时备份，可对本地文件备份的恢复目录以及自动清除策略进行统一设置。</w:t>
            </w:r>
          </w:p>
        </w:tc>
      </w:tr>
      <w:tr w14:paraId="23AEAD78">
        <w:tblPrEx>
          <w:tblCellMar>
            <w:top w:w="0" w:type="dxa"/>
            <w:left w:w="108" w:type="dxa"/>
            <w:bottom w:w="0" w:type="dxa"/>
            <w:right w:w="108" w:type="dxa"/>
          </w:tblCellMar>
        </w:tblPrEx>
        <w:trPr>
          <w:trHeight w:val="1248"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CE3DA">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F79C">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1E93">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与360办公云盘智能备份联动：支持对常用文档格式进行备份，如：.doc、docx、xls、xlsx、ppt、pptx、pdf，并支持文档类型自定义；可定义智能备份的位置，备份时机，及周期定时备份，可对本地文件备份的恢复目录以及自动清除策略进行统一设置。提供办公云盘快速入口，支持用户自动连接办公云盘进行文档上传和下载操作。</w:t>
            </w:r>
          </w:p>
        </w:tc>
      </w:tr>
      <w:tr w14:paraId="02D06341">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193AE">
            <w:pPr>
              <w:spacing w:line="360" w:lineRule="auto"/>
              <w:ind w:firstLine="0" w:firstLineChars="0"/>
              <w:jc w:val="center"/>
              <w:rPr>
                <w:rFonts w:hint="eastAsia" w:ascii="宋体" w:hAnsi="宋体" w:eastAsia="宋体" w:cs="宋体"/>
                <w:color w:val="000000"/>
                <w:szCs w:val="21"/>
              </w:rPr>
            </w:pPr>
          </w:p>
        </w:tc>
        <w:tc>
          <w:tcPr>
            <w:tcW w:w="992" w:type="dxa"/>
            <w:tcBorders>
              <w:top w:val="nil"/>
              <w:left w:val="single" w:color="000000" w:sz="4" w:space="0"/>
              <w:bottom w:val="single" w:color="000000" w:sz="4" w:space="0"/>
              <w:right w:val="single" w:color="000000" w:sz="4" w:space="0"/>
            </w:tcBorders>
            <w:shd w:val="clear" w:color="auto" w:fill="auto"/>
            <w:noWrap/>
            <w:vAlign w:val="center"/>
          </w:tcPr>
          <w:p w14:paraId="11CB782B">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勒索风险评估</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CA22">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支持对勒索相关风险进行专项基线扫描，根据勒索安全基线逐条判断终端风险，并分类统计展示。（</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CA4532B">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C737B">
            <w:pPr>
              <w:spacing w:line="360" w:lineRule="auto"/>
              <w:ind w:firstLine="0" w:firstLineChars="0"/>
              <w:jc w:val="center"/>
              <w:rPr>
                <w:rFonts w:hint="eastAsia" w:ascii="宋体" w:hAnsi="宋体" w:eastAsia="宋体" w:cs="宋体"/>
                <w:color w:val="000000"/>
                <w:szCs w:val="21"/>
              </w:rPr>
            </w:pPr>
          </w:p>
        </w:tc>
        <w:tc>
          <w:tcPr>
            <w:tcW w:w="992" w:type="dxa"/>
            <w:tcBorders>
              <w:top w:val="nil"/>
              <w:left w:val="single" w:color="000000" w:sz="4" w:space="0"/>
              <w:bottom w:val="single" w:color="000000" w:sz="4" w:space="0"/>
              <w:right w:val="single" w:color="000000" w:sz="4" w:space="0"/>
            </w:tcBorders>
            <w:shd w:val="clear" w:color="auto" w:fill="auto"/>
            <w:noWrap/>
            <w:vAlign w:val="center"/>
          </w:tcPr>
          <w:p w14:paraId="3466F860">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勒索漏洞修复</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385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支持对勒索病毒相关漏洞专项扫描展示，可以漏洞维度或者终端维度检测终端漏洞情况，支持对漏洞修复。（</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5010916">
        <w:tblPrEx>
          <w:tblCellMar>
            <w:top w:w="0" w:type="dxa"/>
            <w:left w:w="108" w:type="dxa"/>
            <w:bottom w:w="0" w:type="dxa"/>
            <w:right w:w="108" w:type="dxa"/>
          </w:tblCellMar>
        </w:tblPrEx>
        <w:trPr>
          <w:trHeight w:val="1560"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76712">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FE33">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勒索行为防御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AA25">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弱口令、疑似黑客工具及远程软件进行扫描，支持被暴破查询：包括系统登陆日志,数据库登陆记录、痕迹清理记录、文件共享日志；支持基于文件监控的勒索病毒智能诱捕。支持远程登录和本地登录两种模式开启动态认证功能，管控中心支持生成动态口令，重置动态口令，解除动态口令和编辑功能。可对终端远程端口进行统一关闭，提高勒索防御能力。（</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AE04EC7">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5AF3">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DA77">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勒索风险统计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FE4C">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支持拦截VNC攻击，支持拦截RDP攻击，拦截RPC攻击，拦截TELNET攻击，拦截SMB攻击，拦截FTP攻击，拦截TOMCAT攻击，拦截WinRM攻击,拦截SSH攻击。（</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32B937EC">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DF5D">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E008">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勒索病毒专杀</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6674">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支持对勒索病毒进行专杀行动，支持查杀结果以终端或者以病毒维度进行展示。（</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1DD2F1B1">
        <w:tblPrEx>
          <w:tblCellMar>
            <w:top w:w="0" w:type="dxa"/>
            <w:left w:w="108" w:type="dxa"/>
            <w:bottom w:w="0" w:type="dxa"/>
            <w:right w:w="108" w:type="dxa"/>
          </w:tblCellMar>
        </w:tblPrEx>
        <w:trPr>
          <w:trHeight w:val="312"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33307">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424C">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勒索救援</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44A3">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提供公网及本地化免费勒索解密工具，可对部分勒索文件进行解密。（</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58CCBE00">
        <w:tblPrEx>
          <w:tblCellMar>
            <w:top w:w="0" w:type="dxa"/>
            <w:left w:w="108" w:type="dxa"/>
            <w:bottom w:w="0" w:type="dxa"/>
            <w:right w:w="108" w:type="dxa"/>
          </w:tblCellMar>
        </w:tblPrEx>
        <w:trPr>
          <w:trHeight w:val="936" w:hRule="atLeast"/>
        </w:trPr>
        <w:tc>
          <w:tcPr>
            <w:tcW w:w="751" w:type="dxa"/>
            <w:vMerge w:val="restart"/>
            <w:tcBorders>
              <w:top w:val="single" w:color="000000" w:sz="4" w:space="0"/>
              <w:left w:val="single" w:color="000000" w:sz="4" w:space="0"/>
              <w:bottom w:val="nil"/>
              <w:right w:val="single" w:color="000000" w:sz="4" w:space="0"/>
            </w:tcBorders>
            <w:shd w:val="clear" w:color="auto" w:fill="auto"/>
            <w:vAlign w:val="center"/>
          </w:tcPr>
          <w:p w14:paraId="408EC9EC">
            <w:pPr>
              <w:widowControl/>
              <w:spacing w:line="360" w:lineRule="auto"/>
              <w:ind w:firstLine="0" w:firstLineChars="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漏洞管理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4C89">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漏洞管理</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E987">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支持终端漏洞扫描功能，可按照操作系统版本（包含Windows XP、Windows7、Windows8以及Windows10）、Office版本、第三方软件（包括Adobe）进行扫描及定时修复。（</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48104393">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41A1FDA9">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194D">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补丁更新设置</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A82C">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支持设置补丁安装完成后提醒、支持补丁下载安装顺序管理、支持蓝屏修复及打补丁影响到编辑Office文档时，体现用户保存文档、避免丢失。（</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43CA91CF">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32FD42F5">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81B4">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停服系统统计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A1EC">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★支持统计内网中已停服系统（Windows XP、Windows7）的终端数，并能查看关联的终端详情。（</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7D2847F">
        <w:tblPrEx>
          <w:tblCellMar>
            <w:top w:w="0" w:type="dxa"/>
            <w:left w:w="108" w:type="dxa"/>
            <w:bottom w:w="0" w:type="dxa"/>
            <w:right w:w="108" w:type="dxa"/>
          </w:tblCellMar>
        </w:tblPrEx>
        <w:trPr>
          <w:trHeight w:val="1248"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4D487915">
            <w:pPr>
              <w:spacing w:line="360" w:lineRule="auto"/>
              <w:ind w:firstLine="0" w:firstLineChars="0"/>
              <w:jc w:val="center"/>
              <w:rPr>
                <w:rFonts w:hint="eastAsia" w:ascii="宋体" w:hAnsi="宋体" w:eastAsia="宋体" w:cs="宋体"/>
                <w:color w:val="000000"/>
                <w:szCs w:val="21"/>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9EE05">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Windows补丁管理</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3C63">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查看服务端下载的补丁文件信息，并可通过服务端页面提供的下载链接下载相关补丁文件。支持管理员配置补丁包含列表、补丁排除列表。终端用户可查看已安装的补丁、已忽略的补丁，可按照KB号卸载指定补丁，支持清理补丁安装包，减少对磁盘空间的占用。（</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049CDAAF">
        <w:tblPrEx>
          <w:tblCellMar>
            <w:top w:w="0" w:type="dxa"/>
            <w:left w:w="108" w:type="dxa"/>
            <w:bottom w:w="0" w:type="dxa"/>
            <w:right w:w="108" w:type="dxa"/>
          </w:tblCellMar>
        </w:tblPrEx>
        <w:trPr>
          <w:trHeight w:val="936"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5231D081">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8D2EE">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EE25">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多种补丁更新模式：联网模式下，可通过云端升级源或者上级管控中心最新的漏洞库、补丁文件，支持选择自动更新或定时更新，支持开启带宽控制，限制服务端联网下载占用的最大带宽。支持隔离网环境下离线更新补丁库。（</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18969188">
        <w:tblPrEx>
          <w:tblCellMar>
            <w:top w:w="0" w:type="dxa"/>
            <w:left w:w="108" w:type="dxa"/>
            <w:bottom w:w="0" w:type="dxa"/>
            <w:right w:w="108" w:type="dxa"/>
          </w:tblCellMar>
        </w:tblPrEx>
        <w:trPr>
          <w:trHeight w:val="312" w:hRule="atLeast"/>
        </w:trPr>
        <w:tc>
          <w:tcPr>
            <w:tcW w:w="751" w:type="dxa"/>
            <w:vMerge w:val="continue"/>
            <w:tcBorders>
              <w:top w:val="single" w:color="000000" w:sz="4" w:space="0"/>
              <w:left w:val="single" w:color="000000" w:sz="4" w:space="0"/>
              <w:bottom w:val="nil"/>
              <w:right w:val="single" w:color="000000" w:sz="4" w:space="0"/>
            </w:tcBorders>
            <w:shd w:val="clear" w:color="auto" w:fill="auto"/>
            <w:vAlign w:val="center"/>
          </w:tcPr>
          <w:p w14:paraId="107E2BDE">
            <w:pPr>
              <w:spacing w:line="360" w:lineRule="auto"/>
              <w:ind w:firstLine="0" w:firstLineChars="0"/>
              <w:jc w:val="center"/>
              <w:rPr>
                <w:rFonts w:hint="eastAsia" w:ascii="宋体" w:hAnsi="宋体" w:eastAsia="宋体" w:cs="宋体"/>
                <w:color w:val="000000"/>
                <w:szCs w:val="21"/>
              </w:rPr>
            </w:pPr>
          </w:p>
        </w:tc>
        <w:tc>
          <w:tcPr>
            <w:tcW w:w="992" w:type="dxa"/>
            <w:tcBorders>
              <w:top w:val="nil"/>
              <w:left w:val="single" w:color="000000" w:sz="4" w:space="0"/>
              <w:bottom w:val="single" w:color="000000" w:sz="4" w:space="0"/>
              <w:right w:val="single" w:color="000000" w:sz="4" w:space="0"/>
            </w:tcBorders>
            <w:shd w:val="clear" w:color="auto" w:fill="auto"/>
            <w:vAlign w:val="center"/>
          </w:tcPr>
          <w:p w14:paraId="53659147">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补丁统计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4262">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支持查看搜索补丁的安装情况，支持对补丁批量卸载、查看忽略补丁等。（</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62228E86">
        <w:tblPrEx>
          <w:tblCellMar>
            <w:top w:w="0" w:type="dxa"/>
            <w:left w:w="108" w:type="dxa"/>
            <w:bottom w:w="0" w:type="dxa"/>
            <w:right w:w="108" w:type="dxa"/>
          </w:tblCellMar>
        </w:tblPrEx>
        <w:trPr>
          <w:trHeight w:val="624" w:hRule="atLeast"/>
        </w:trPr>
        <w:tc>
          <w:tcPr>
            <w:tcW w:w="75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359BF7C">
            <w:pPr>
              <w:spacing w:line="360" w:lineRule="auto"/>
              <w:ind w:firstLine="0" w:firstLineChars="0"/>
              <w:jc w:val="center"/>
              <w:rPr>
                <w:rFonts w:hint="eastAsia" w:ascii="宋体" w:hAnsi="宋体" w:eastAsia="宋体" w:cs="宋体"/>
                <w:color w:val="000000"/>
                <w:szCs w:val="21"/>
              </w:rPr>
            </w:pPr>
          </w:p>
        </w:tc>
        <w:tc>
          <w:tcPr>
            <w:tcW w:w="992" w:type="dxa"/>
            <w:tcBorders>
              <w:top w:val="nil"/>
              <w:left w:val="single" w:color="000000" w:sz="4" w:space="0"/>
              <w:bottom w:val="single" w:color="auto" w:sz="4" w:space="0"/>
              <w:right w:val="single" w:color="000000" w:sz="4" w:space="0"/>
            </w:tcBorders>
            <w:shd w:val="clear" w:color="auto" w:fill="auto"/>
            <w:vAlign w:val="center"/>
          </w:tcPr>
          <w:p w14:paraId="0513D0EA">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灰度发布</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64D1">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★支持补丁分发灰度发布功能：当管控中心更新漏洞库时（补丁库），可自动化编排完成补丁库的分发，可将终端分组划分为多个批次，逐步推送补丁。（</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742C3567">
        <w:tblPrEx>
          <w:tblCellMar>
            <w:top w:w="0" w:type="dxa"/>
            <w:left w:w="108" w:type="dxa"/>
            <w:bottom w:w="0" w:type="dxa"/>
            <w:right w:w="108" w:type="dxa"/>
          </w:tblCellMar>
        </w:tblPrEx>
        <w:trPr>
          <w:trHeight w:val="1248" w:hRule="atLeast"/>
        </w:trPr>
        <w:tc>
          <w:tcPr>
            <w:tcW w:w="751"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62C29A65">
            <w:pPr>
              <w:widowControl/>
              <w:spacing w:line="360" w:lineRule="auto"/>
              <w:ind w:firstLine="0" w:firstLineChars="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终端管控</w:t>
            </w:r>
          </w:p>
        </w:tc>
        <w:tc>
          <w:tcPr>
            <w:tcW w:w="99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5EAA0E39">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桌面加固</w:t>
            </w:r>
          </w:p>
        </w:tc>
        <w:tc>
          <w:tcPr>
            <w:tcW w:w="6804" w:type="dxa"/>
            <w:tcBorders>
              <w:top w:val="single" w:color="000000" w:sz="4" w:space="0"/>
              <w:left w:val="single" w:color="auto" w:sz="4" w:space="0"/>
              <w:bottom w:val="single" w:color="000000" w:sz="4" w:space="0"/>
              <w:right w:val="single" w:color="000000" w:sz="4" w:space="0"/>
            </w:tcBorders>
            <w:shd w:val="clear" w:color="auto" w:fill="auto"/>
            <w:vAlign w:val="center"/>
          </w:tcPr>
          <w:p w14:paraId="3CF0926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终端账号安全加固，支持账号锁定阈值设置、账号锁定时间设置、禁用Guest账户。禁用本地管理员账户。是否允许提升账户权限、是否允许增加删除账号。支持对终端密码安全策略检测，支持密码最小长度、最长使用期限、最短使用期限、强制密码历史、是否启用密码复杂度要求等检测。支持自定义弱密码库，支持终端账户弱密码检测。</w:t>
            </w:r>
          </w:p>
        </w:tc>
      </w:tr>
      <w:tr w14:paraId="1671BEC1">
        <w:tblPrEx>
          <w:tblCellMar>
            <w:top w:w="0" w:type="dxa"/>
            <w:left w:w="108" w:type="dxa"/>
            <w:bottom w:w="0" w:type="dxa"/>
            <w:right w:w="108" w:type="dxa"/>
          </w:tblCellMar>
        </w:tblPrEx>
        <w:trPr>
          <w:trHeight w:val="936"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F09AA06">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0CCA0E4">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auto" w:sz="4" w:space="0"/>
              <w:bottom w:val="single" w:color="000000" w:sz="4" w:space="0"/>
              <w:right w:val="single" w:color="000000" w:sz="4" w:space="0"/>
            </w:tcBorders>
            <w:shd w:val="clear" w:color="auto" w:fill="auto"/>
            <w:vAlign w:val="center"/>
          </w:tcPr>
          <w:p w14:paraId="15451635">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自定义壁纸；在客户端原有壁纸的基础上，支持显示基本信息如算机名称、IP、MAC、归属部门、使用人、手机、邮箱等信息。支持开启屏保并可设置屏保等待时间、恢复时可启用密码验证，可自定义上传屏保文件。（</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176E0A5F">
        <w:tblPrEx>
          <w:tblCellMar>
            <w:top w:w="0" w:type="dxa"/>
            <w:left w:w="108" w:type="dxa"/>
            <w:bottom w:w="0" w:type="dxa"/>
            <w:right w:w="108" w:type="dxa"/>
          </w:tblCellMar>
        </w:tblPrEx>
        <w:trPr>
          <w:trHeight w:val="936"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4AFC13D">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59513CF">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auto" w:sz="4" w:space="0"/>
              <w:bottom w:val="single" w:color="000000" w:sz="4" w:space="0"/>
              <w:right w:val="single" w:color="000000" w:sz="4" w:space="0"/>
            </w:tcBorders>
            <w:shd w:val="clear" w:color="auto" w:fill="auto"/>
            <w:vAlign w:val="center"/>
          </w:tcPr>
          <w:p w14:paraId="4325AD16">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开启或禁用用户账户、添加/删除程序、网络共享中心、个性化、管理工具、日期和时间等。支持开启或禁用安全模式，可设置安全模式登录密码。产品可对系统IE浏览器的Internet进行安全配置，可配置安全级别、禁止使用IE代理等。</w:t>
            </w:r>
          </w:p>
        </w:tc>
      </w:tr>
      <w:tr w14:paraId="3C8D7C4A">
        <w:tblPrEx>
          <w:tblCellMar>
            <w:top w:w="0" w:type="dxa"/>
            <w:left w:w="108" w:type="dxa"/>
            <w:bottom w:w="0" w:type="dxa"/>
            <w:right w:w="108" w:type="dxa"/>
          </w:tblCellMar>
        </w:tblPrEx>
        <w:trPr>
          <w:trHeight w:val="936"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390AF22">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09B9647">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auto" w:sz="4" w:space="0"/>
              <w:bottom w:val="single" w:color="000000" w:sz="4" w:space="0"/>
              <w:right w:val="single" w:color="000000" w:sz="4" w:space="0"/>
            </w:tcBorders>
            <w:shd w:val="clear" w:color="auto" w:fill="auto"/>
            <w:vAlign w:val="center"/>
          </w:tcPr>
          <w:p w14:paraId="3BE0DD1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开启或禁用组策略编辑器、注册表编辑器、阻止添加打印机、关闭系统还原、系统共享、用户共享、任务管理器、账户自动登录、远程修改注册表、远程协助、远程桌面、系统防火墙、U盘自动播放等本地安全策略。</w:t>
            </w:r>
          </w:p>
        </w:tc>
      </w:tr>
      <w:tr w14:paraId="4C914028">
        <w:tblPrEx>
          <w:tblCellMar>
            <w:top w:w="0" w:type="dxa"/>
            <w:left w:w="108" w:type="dxa"/>
            <w:bottom w:w="0" w:type="dxa"/>
            <w:right w:w="108" w:type="dxa"/>
          </w:tblCellMar>
        </w:tblPrEx>
        <w:trPr>
          <w:trHeight w:val="936"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AE5F5AE">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30EE30A">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auto" w:sz="4" w:space="0"/>
              <w:bottom w:val="single" w:color="000000" w:sz="4" w:space="0"/>
              <w:right w:val="single" w:color="000000" w:sz="4" w:space="0"/>
            </w:tcBorders>
            <w:shd w:val="clear" w:color="auto" w:fill="auto"/>
            <w:vAlign w:val="center"/>
          </w:tcPr>
          <w:p w14:paraId="6D28AD67">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开启或禁用终端审核策略，审核内容包括审核策略更改、审核登录事件、审核对象访问、审核进程跟踪、审核目录服务访问、审核特权使用、审核系统事件、审核账户登录事件、审核账户管理等。（要求客户端登录用户本身需要有相关的本地策略编辑权限）（</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6D59FF42">
        <w:tblPrEx>
          <w:tblCellMar>
            <w:top w:w="0" w:type="dxa"/>
            <w:left w:w="108" w:type="dxa"/>
            <w:bottom w:w="0" w:type="dxa"/>
            <w:right w:w="108" w:type="dxa"/>
          </w:tblCellMar>
        </w:tblPrEx>
        <w:trPr>
          <w:trHeight w:val="90"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B57131F">
            <w:pPr>
              <w:spacing w:line="360" w:lineRule="auto"/>
              <w:ind w:firstLine="0" w:firstLineChars="0"/>
              <w:jc w:val="center"/>
              <w:rPr>
                <w:rFonts w:hint="eastAsia" w:ascii="宋体" w:hAnsi="宋体" w:eastAsia="宋体" w:cs="宋体"/>
                <w:color w:val="000000"/>
                <w:szCs w:val="21"/>
              </w:rPr>
            </w:pPr>
          </w:p>
        </w:tc>
        <w:tc>
          <w:tcPr>
            <w:tcW w:w="99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6858F3C">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外联管控</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DE1E">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产品具备内网终端违规外联检测能力，支持解析域名、PING探测地址、TCP建立连接三种外联探测方式，支持以分钟单位设置探测时间间隔，支持以IP或域名方式设置探测地址，可对违规终端即时报警，处置。违规外联处罚规则，包括客户端违规外联后弹框提示、断开网络、关机、断开网络+终端锁屏、终端锁屏。（</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27179F79">
        <w:tblPrEx>
          <w:tblCellMar>
            <w:top w:w="0" w:type="dxa"/>
            <w:left w:w="108" w:type="dxa"/>
            <w:bottom w:w="0" w:type="dxa"/>
            <w:right w:w="108" w:type="dxa"/>
          </w:tblCellMar>
        </w:tblPrEx>
        <w:trPr>
          <w:trHeight w:val="936"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0A2896E">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7EFD93">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EE95">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产品具备外网终端互联网出口是否合规的能力，支持企业互联网出口管理，自动发现企业内网的互联网出口，包括出口IP地址、使用终端、最早发现时间，并允许管理员管理。（</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3AE77A07">
        <w:tblPrEx>
          <w:tblCellMar>
            <w:top w:w="0" w:type="dxa"/>
            <w:left w:w="108" w:type="dxa"/>
            <w:bottom w:w="0" w:type="dxa"/>
            <w:right w:w="108" w:type="dxa"/>
          </w:tblCellMar>
        </w:tblPrEx>
        <w:trPr>
          <w:trHeight w:val="990"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04DBA86">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F99127">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348">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SID信息统计：可统计终端连接过的无线SSID信息，在控制中心形成SSID库，可统计SSID的名称、首次发现时间、mac地址、是否可联通互联网，来源等信息；支持SSID管理功能，可根据库信息设置SSID白名单，只允许终端连接白名单内的SSID信号。（</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49B44786">
        <w:tblPrEx>
          <w:tblCellMar>
            <w:top w:w="0" w:type="dxa"/>
            <w:left w:w="108" w:type="dxa"/>
            <w:bottom w:w="0" w:type="dxa"/>
            <w:right w:w="108" w:type="dxa"/>
          </w:tblCellMar>
        </w:tblPrEx>
        <w:trPr>
          <w:trHeight w:val="624"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D413336">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9568233">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A15C">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支持对终端外联安全进行防护，可禁止客户端修改IP、修改MAC、禁止终端创建热点、禁止多SSID同时连接、禁止有线无线网卡共用。（</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4BC2BFF4">
        <w:tblPrEx>
          <w:tblCellMar>
            <w:top w:w="0" w:type="dxa"/>
            <w:left w:w="108" w:type="dxa"/>
            <w:bottom w:w="0" w:type="dxa"/>
            <w:right w:w="108" w:type="dxa"/>
          </w:tblCellMar>
        </w:tblPrEx>
        <w:trPr>
          <w:trHeight w:val="624"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428B852">
            <w:pPr>
              <w:spacing w:line="360" w:lineRule="auto"/>
              <w:ind w:firstLine="0" w:firstLineChars="0"/>
              <w:jc w:val="center"/>
              <w:rPr>
                <w:rFonts w:hint="eastAsia" w:ascii="宋体" w:hAnsi="宋体" w:eastAsia="宋体" w:cs="宋体"/>
                <w:color w:val="000000"/>
                <w:szCs w:val="21"/>
              </w:rPr>
            </w:pPr>
          </w:p>
        </w:tc>
        <w:tc>
          <w:tcPr>
            <w:tcW w:w="99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933F70F">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外设管控</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C90C">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支持客户端外设信息自动上报，并由控制中心汇总展示，支持对外设信息进行分类，例外等处理。（</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410CA18C">
        <w:tblPrEx>
          <w:tblCellMar>
            <w:top w:w="0" w:type="dxa"/>
            <w:left w:w="108" w:type="dxa"/>
            <w:bottom w:w="0" w:type="dxa"/>
            <w:right w:w="108" w:type="dxa"/>
          </w:tblCellMar>
        </w:tblPrEx>
        <w:trPr>
          <w:trHeight w:val="1560" w:hRule="atLeast"/>
        </w:trPr>
        <w:tc>
          <w:tcPr>
            <w:tcW w:w="75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94AD161">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4F32A2">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33C2">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支持对终端外接设备进行管理，支持的类型包括移动存储、USB非移动存储、鼠标、键盘、摄像头、打印机、扫描仪、蓝牙、手机、平板、串口、并口、1394、PCMCIA、</w:t>
            </w:r>
            <w:r>
              <w:rPr>
                <w:rFonts w:hint="eastAsia" w:ascii="宋体" w:hAnsi="宋体" w:eastAsia="宋体" w:cs="宋体"/>
                <w:b/>
                <w:bCs/>
                <w:color w:val="000000"/>
                <w:kern w:val="0"/>
                <w:szCs w:val="21"/>
                <w:lang w:bidi="ar"/>
              </w:rPr>
              <w:t>PS2</w:t>
            </w:r>
            <w:r>
              <w:rPr>
                <w:rFonts w:hint="eastAsia" w:ascii="宋体" w:hAnsi="宋体" w:eastAsia="宋体" w:cs="宋体"/>
                <w:color w:val="000000"/>
                <w:kern w:val="0"/>
                <w:szCs w:val="21"/>
                <w:lang w:bidi="ar"/>
              </w:rPr>
              <w:t>等接口控制。支持多种设备例外方式，可支持通过设备名称、设备实例路径、设备VID/PID信息对设备进行批量放行，</w:t>
            </w:r>
            <w:r>
              <w:rPr>
                <w:rFonts w:hint="eastAsia" w:ascii="宋体" w:hAnsi="宋体" w:eastAsia="宋体" w:cs="宋体"/>
                <w:b/>
                <w:bCs/>
                <w:color w:val="000000"/>
                <w:kern w:val="0"/>
                <w:szCs w:val="21"/>
                <w:lang w:bidi="ar"/>
              </w:rPr>
              <w:t>支持内置外置光驱权限分别控制</w:t>
            </w:r>
            <w:r>
              <w:rPr>
                <w:rFonts w:hint="eastAsia" w:ascii="宋体" w:hAnsi="宋体" w:eastAsia="宋体" w:cs="宋体"/>
                <w:color w:val="000000"/>
                <w:kern w:val="0"/>
                <w:szCs w:val="21"/>
                <w:lang w:bidi="ar"/>
              </w:rPr>
              <w:t>；支持</w:t>
            </w:r>
            <w:r>
              <w:rPr>
                <w:rFonts w:hint="eastAsia" w:ascii="宋体" w:hAnsi="宋体" w:eastAsia="宋体" w:cs="宋体"/>
                <w:b/>
                <w:bCs/>
                <w:color w:val="000000"/>
                <w:kern w:val="0"/>
                <w:szCs w:val="21"/>
                <w:lang w:bidi="ar"/>
              </w:rPr>
              <w:t>华为云桌面、深信服云桌面网络映射盘的禁用与启用。</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622B1D92">
        <w:tblPrEx>
          <w:tblCellMar>
            <w:top w:w="0" w:type="dxa"/>
            <w:left w:w="108" w:type="dxa"/>
            <w:bottom w:w="0" w:type="dxa"/>
            <w:right w:w="108" w:type="dxa"/>
          </w:tblCellMar>
        </w:tblPrEx>
        <w:trPr>
          <w:trHeight w:val="936" w:hRule="atLeast"/>
        </w:trPr>
        <w:tc>
          <w:tcPr>
            <w:tcW w:w="751" w:type="dxa"/>
            <w:vMerge w:val="continue"/>
            <w:tcBorders>
              <w:top w:val="single" w:color="auto" w:sz="4" w:space="0"/>
              <w:left w:val="single" w:color="auto" w:sz="4" w:space="0"/>
              <w:bottom w:val="nil"/>
              <w:right w:val="single" w:color="000000" w:sz="4" w:space="0"/>
            </w:tcBorders>
            <w:shd w:val="clear" w:color="auto" w:fill="auto"/>
            <w:vAlign w:val="center"/>
          </w:tcPr>
          <w:p w14:paraId="1C9E4C4E">
            <w:pPr>
              <w:spacing w:line="360" w:lineRule="auto"/>
              <w:ind w:firstLine="0" w:firstLineChars="0"/>
              <w:jc w:val="center"/>
              <w:rPr>
                <w:rFonts w:hint="eastAsia" w:ascii="宋体" w:hAnsi="宋体" w:eastAsia="宋体" w:cs="宋体"/>
                <w:color w:val="000000"/>
                <w:szCs w:val="21"/>
              </w:rPr>
            </w:pPr>
          </w:p>
        </w:tc>
        <w:tc>
          <w:tcPr>
            <w:tcW w:w="992" w:type="dxa"/>
            <w:tcBorders>
              <w:top w:val="single" w:color="auto" w:sz="4" w:space="0"/>
              <w:left w:val="single" w:color="000000" w:sz="4" w:space="0"/>
              <w:bottom w:val="nil"/>
              <w:right w:val="single" w:color="000000" w:sz="4" w:space="0"/>
            </w:tcBorders>
            <w:shd w:val="clear" w:color="auto" w:fill="auto"/>
            <w:vAlign w:val="center"/>
          </w:tcPr>
          <w:p w14:paraId="7FE21B02">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服务管控</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114B">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以黑白名单的形式，管理终端启动的服务，禁止终端启动违规服务。对于违规启动的行为，可在客户端显示提示信息。支持审计服务状态变。为避免审计日志过多，可设置例外不需要审计的服务、或设置不审计系统服务。</w:t>
            </w:r>
          </w:p>
        </w:tc>
      </w:tr>
      <w:tr w14:paraId="7CDB52FE">
        <w:tblPrEx>
          <w:tblCellMar>
            <w:top w:w="0" w:type="dxa"/>
            <w:left w:w="108" w:type="dxa"/>
            <w:bottom w:w="0" w:type="dxa"/>
            <w:right w:w="108" w:type="dxa"/>
          </w:tblCellMar>
        </w:tblPrEx>
        <w:trPr>
          <w:trHeight w:val="936" w:hRule="atLeast"/>
        </w:trPr>
        <w:tc>
          <w:tcPr>
            <w:tcW w:w="751" w:type="dxa"/>
            <w:vMerge w:val="continue"/>
            <w:tcBorders>
              <w:top w:val="single" w:color="000000" w:sz="4" w:space="0"/>
              <w:left w:val="single" w:color="auto" w:sz="4" w:space="0"/>
              <w:bottom w:val="nil"/>
              <w:right w:val="single" w:color="000000" w:sz="4" w:space="0"/>
            </w:tcBorders>
            <w:shd w:val="clear" w:color="auto" w:fill="auto"/>
            <w:vAlign w:val="center"/>
          </w:tcPr>
          <w:p w14:paraId="2B1A5424">
            <w:pPr>
              <w:spacing w:line="360" w:lineRule="auto"/>
              <w:ind w:firstLine="0" w:firstLineChars="0"/>
              <w:jc w:val="center"/>
              <w:rPr>
                <w:rFonts w:hint="eastAsia" w:ascii="宋体" w:hAnsi="宋体" w:eastAsia="宋体" w:cs="宋体"/>
                <w:color w:val="000000"/>
                <w:szCs w:val="21"/>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AA459">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进程管理</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B7D0">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支持上报终端运行的进程，自动生成进程库。支持进程黑名单、</w:t>
            </w:r>
            <w:r>
              <w:rPr>
                <w:rFonts w:hint="eastAsia" w:ascii="宋体" w:hAnsi="宋体" w:eastAsia="宋体" w:cs="宋体"/>
                <w:b/>
                <w:bCs/>
                <w:color w:val="000000"/>
                <w:kern w:val="0"/>
                <w:szCs w:val="21"/>
                <w:lang w:bidi="ar"/>
              </w:rPr>
              <w:t>灰名单管理</w:t>
            </w:r>
            <w:r>
              <w:rPr>
                <w:rFonts w:hint="eastAsia" w:ascii="宋体" w:hAnsi="宋体" w:eastAsia="宋体" w:cs="宋体"/>
                <w:color w:val="000000"/>
                <w:kern w:val="0"/>
                <w:szCs w:val="21"/>
                <w:lang w:bidi="ar"/>
              </w:rPr>
              <w:t>：可监控方式模式选择，包含：监控模式、防护模式；支持设置进程黑名单匹配规则，支持按照启动路径、MD5、SH1、产品名称、公司名称、进程名称等规则进行控制。</w:t>
            </w:r>
          </w:p>
        </w:tc>
      </w:tr>
      <w:tr w14:paraId="17D3C22E">
        <w:tblPrEx>
          <w:tblCellMar>
            <w:top w:w="0" w:type="dxa"/>
            <w:left w:w="108" w:type="dxa"/>
            <w:bottom w:w="0" w:type="dxa"/>
            <w:right w:w="108" w:type="dxa"/>
          </w:tblCellMar>
        </w:tblPrEx>
        <w:trPr>
          <w:trHeight w:val="936" w:hRule="atLeast"/>
        </w:trPr>
        <w:tc>
          <w:tcPr>
            <w:tcW w:w="751" w:type="dxa"/>
            <w:vMerge w:val="continue"/>
            <w:tcBorders>
              <w:top w:val="single" w:color="000000" w:sz="4" w:space="0"/>
              <w:left w:val="single" w:color="auto" w:sz="4" w:space="0"/>
              <w:bottom w:val="nil"/>
              <w:right w:val="single" w:color="000000" w:sz="4" w:space="0"/>
            </w:tcBorders>
            <w:shd w:val="clear" w:color="auto" w:fill="auto"/>
            <w:vAlign w:val="center"/>
          </w:tcPr>
          <w:p w14:paraId="050BCF77">
            <w:pPr>
              <w:spacing w:line="360" w:lineRule="auto"/>
              <w:ind w:firstLine="0" w:firstLineChars="0"/>
              <w:jc w:val="center"/>
              <w:rPr>
                <w:rFonts w:hint="eastAsia" w:ascii="宋体" w:hAnsi="宋体" w:eastAsia="宋体" w:cs="宋体"/>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BF01">
            <w:pPr>
              <w:spacing w:line="360" w:lineRule="auto"/>
              <w:ind w:firstLine="0" w:firstLineChars="0"/>
              <w:jc w:val="left"/>
              <w:rPr>
                <w:rFonts w:hint="eastAsia" w:ascii="宋体" w:hAnsi="宋体" w:eastAsia="宋体" w:cs="宋体"/>
                <w:color w:val="000000"/>
                <w:szCs w:val="21"/>
              </w:rPr>
            </w:pP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ABD">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进程管理功能，支持进程黑名单、白名单模式进行控制、支持红名单模式：对名单中的进程提供保护，避免被第三方恶意结束。支持国产桌面终端进程红名单，对添加到红名单里的进程进行保护，防止该进程被恶意结束。（</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195473B8">
        <w:tblPrEx>
          <w:tblCellMar>
            <w:top w:w="0" w:type="dxa"/>
            <w:left w:w="108" w:type="dxa"/>
            <w:bottom w:w="0" w:type="dxa"/>
            <w:right w:w="108" w:type="dxa"/>
          </w:tblCellMar>
        </w:tblPrEx>
        <w:trPr>
          <w:trHeight w:val="1560" w:hRule="atLeast"/>
        </w:trPr>
        <w:tc>
          <w:tcPr>
            <w:tcW w:w="751" w:type="dxa"/>
            <w:vMerge w:val="continue"/>
            <w:tcBorders>
              <w:top w:val="single" w:color="000000" w:sz="4" w:space="0"/>
              <w:left w:val="single" w:color="auto" w:sz="4" w:space="0"/>
              <w:bottom w:val="nil"/>
              <w:right w:val="single" w:color="000000" w:sz="4" w:space="0"/>
            </w:tcBorders>
            <w:shd w:val="clear" w:color="auto" w:fill="auto"/>
            <w:vAlign w:val="center"/>
          </w:tcPr>
          <w:p w14:paraId="31CD170F">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14:paraId="23FA64B5">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主机防火墙</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2774">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支持基于网络五元组设置终端网络访问控制规则、规则内容包含：规则名称、规则描述、规则类型、状态、优先级、动作、方向（双向）、协议、本地地址、本地端口、远端地址、远端端口、</w:t>
            </w:r>
            <w:r>
              <w:rPr>
                <w:rFonts w:hint="eastAsia" w:ascii="宋体" w:hAnsi="宋体" w:eastAsia="宋体" w:cs="宋体"/>
                <w:b/>
                <w:bCs/>
                <w:color w:val="000000"/>
                <w:kern w:val="0"/>
                <w:szCs w:val="21"/>
                <w:lang w:bidi="ar"/>
              </w:rPr>
              <w:t>应用程序</w:t>
            </w:r>
            <w:r>
              <w:rPr>
                <w:rFonts w:hint="eastAsia" w:ascii="宋体" w:hAnsi="宋体" w:eastAsia="宋体" w:cs="宋体"/>
                <w:color w:val="000000"/>
                <w:kern w:val="0"/>
                <w:szCs w:val="21"/>
                <w:lang w:bidi="ar"/>
              </w:rPr>
              <w:t>、等对终端网络访问进行控制；支持创建域名规则，实现对某一类域名网站进行网络访问控制。</w:t>
            </w:r>
            <w:r>
              <w:rPr>
                <w:rFonts w:hint="eastAsia" w:ascii="宋体" w:hAnsi="宋体" w:eastAsia="宋体" w:cs="宋体"/>
                <w:b/>
                <w:bCs/>
                <w:color w:val="000000"/>
                <w:kern w:val="0"/>
                <w:szCs w:val="21"/>
                <w:lang w:bidi="ar"/>
              </w:rPr>
              <w:t>支持对客户端网卡的DNS地址进行统一配置</w:t>
            </w:r>
            <w:r>
              <w:rPr>
                <w:rFonts w:hint="eastAsia" w:ascii="宋体" w:hAnsi="宋体" w:eastAsia="宋体" w:cs="宋体"/>
                <w:color w:val="000000"/>
                <w:kern w:val="0"/>
                <w:szCs w:val="21"/>
                <w:lang w:bidi="ar"/>
              </w:rPr>
              <w:t>。支持对防火墙部署模式进行设置，可设置监控模式和防护模式。（</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0F5A635A">
        <w:tblPrEx>
          <w:tblCellMar>
            <w:top w:w="0" w:type="dxa"/>
            <w:left w:w="108" w:type="dxa"/>
            <w:bottom w:w="0" w:type="dxa"/>
            <w:right w:w="108" w:type="dxa"/>
          </w:tblCellMar>
        </w:tblPrEx>
        <w:trPr>
          <w:trHeight w:val="936" w:hRule="atLeast"/>
        </w:trPr>
        <w:tc>
          <w:tcPr>
            <w:tcW w:w="751" w:type="dxa"/>
            <w:vMerge w:val="continue"/>
            <w:tcBorders>
              <w:top w:val="single" w:color="000000" w:sz="4" w:space="0"/>
              <w:left w:val="single" w:color="auto" w:sz="4" w:space="0"/>
              <w:bottom w:val="nil"/>
              <w:right w:val="single" w:color="000000" w:sz="4" w:space="0"/>
            </w:tcBorders>
            <w:shd w:val="clear" w:color="auto" w:fill="auto"/>
            <w:vAlign w:val="center"/>
          </w:tcPr>
          <w:p w14:paraId="57E826DE">
            <w:pPr>
              <w:spacing w:line="360" w:lineRule="auto"/>
              <w:ind w:firstLine="0" w:firstLineChars="0"/>
              <w:jc w:val="center"/>
              <w:rPr>
                <w:rFonts w:hint="eastAsia" w:ascii="宋体" w:hAnsi="宋体" w:eastAsia="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085D">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文件分发</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98FA">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Windows和国产终端文件分发功能，管理员可配置文件分发参数，可设置分发文件的存放位置、失败重发，支持限制终端在资源占用率不高于70%时才接收并运行文件。可配置软件运行参数，使软件静默运行。支持对分发的文件进行签名，避免被恶意利用。（</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6C3310FD">
        <w:tblPrEx>
          <w:tblCellMar>
            <w:top w:w="0" w:type="dxa"/>
            <w:left w:w="108" w:type="dxa"/>
            <w:bottom w:w="0" w:type="dxa"/>
            <w:right w:w="108" w:type="dxa"/>
          </w:tblCellMar>
        </w:tblPrEx>
        <w:trPr>
          <w:trHeight w:val="936" w:hRule="atLeast"/>
        </w:trPr>
        <w:tc>
          <w:tcPr>
            <w:tcW w:w="75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9A21BDC">
            <w:pPr>
              <w:spacing w:line="360" w:lineRule="auto"/>
              <w:ind w:firstLine="0" w:firstLineChars="0"/>
              <w:jc w:val="center"/>
              <w:rPr>
                <w:rFonts w:hint="eastAsia" w:ascii="宋体" w:hAnsi="宋体" w:eastAsia="宋体" w:cs="宋体"/>
                <w:color w:val="000000"/>
                <w:szCs w:val="21"/>
              </w:rPr>
            </w:pPr>
          </w:p>
        </w:tc>
        <w:tc>
          <w:tcPr>
            <w:tcW w:w="992" w:type="dxa"/>
            <w:tcBorders>
              <w:top w:val="nil"/>
              <w:left w:val="single" w:color="000000" w:sz="4" w:space="0"/>
              <w:bottom w:val="single" w:color="000000" w:sz="4" w:space="0"/>
              <w:right w:val="single" w:color="000000" w:sz="4" w:space="0"/>
            </w:tcBorders>
            <w:shd w:val="clear" w:color="auto" w:fill="auto"/>
            <w:vAlign w:val="center"/>
          </w:tcPr>
          <w:p w14:paraId="7B13882E">
            <w:pPr>
              <w:widowControl/>
              <w:spacing w:line="360" w:lineRule="auto"/>
              <w:ind w:firstLine="0" w:firstLineChars="0"/>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远程控制</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54EE">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远程协助功能，可支持直接远程或者终端确认两种远程模式，管理员在发起远程时可配置远程控制理由，支持远程控制时在服务端和客户端之间进行双向文件传输。★远程控制录屏，支持对管理员远程控制的行为进行录屏，支持下载查看录屏文件。（</w:t>
            </w:r>
            <w:r>
              <w:rPr>
                <w:rFonts w:hint="eastAsia" w:ascii="宋体" w:hAnsi="宋体" w:eastAsia="宋体" w:cs="宋体"/>
                <w:color w:val="000000"/>
                <w:kern w:val="0"/>
                <w:szCs w:val="21"/>
                <w:lang w:val="en-US" w:eastAsia="zh-CN" w:bidi="ar"/>
              </w:rPr>
              <w:t>投标时</w:t>
            </w:r>
            <w:r>
              <w:rPr>
                <w:rFonts w:hint="eastAsia" w:ascii="宋体" w:hAnsi="宋体" w:eastAsia="宋体" w:cs="宋体"/>
                <w:color w:val="000000"/>
                <w:kern w:val="0"/>
                <w:szCs w:val="21"/>
                <w:lang w:bidi="ar"/>
              </w:rPr>
              <w:t>提供产品功能截图）</w:t>
            </w:r>
          </w:p>
        </w:tc>
      </w:tr>
      <w:tr w14:paraId="43B9A471">
        <w:tblPrEx>
          <w:tblCellMar>
            <w:top w:w="0" w:type="dxa"/>
            <w:left w:w="108" w:type="dxa"/>
            <w:bottom w:w="0" w:type="dxa"/>
            <w:right w:w="108" w:type="dxa"/>
          </w:tblCellMar>
        </w:tblPrEx>
        <w:trPr>
          <w:trHeight w:val="312" w:hRule="atLeast"/>
        </w:trPr>
        <w:tc>
          <w:tcPr>
            <w:tcW w:w="1743"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7E1FB4A4">
            <w:pPr>
              <w:widowControl/>
              <w:spacing w:line="360" w:lineRule="auto"/>
              <w:ind w:firstLine="0" w:firstLineChars="0"/>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资质要求</w:t>
            </w:r>
          </w:p>
        </w:tc>
        <w:tc>
          <w:tcPr>
            <w:tcW w:w="6804" w:type="dxa"/>
            <w:tcBorders>
              <w:top w:val="single" w:color="000000" w:sz="4" w:space="0"/>
              <w:left w:val="single" w:color="000000" w:sz="4" w:space="0"/>
              <w:bottom w:val="nil"/>
              <w:right w:val="single" w:color="000000" w:sz="4" w:space="0"/>
            </w:tcBorders>
            <w:shd w:val="clear" w:color="auto" w:fill="auto"/>
            <w:vAlign w:val="center"/>
          </w:tcPr>
          <w:p w14:paraId="2161E5CD">
            <w:pPr>
              <w:widowControl/>
              <w:spacing w:line="360" w:lineRule="auto"/>
              <w:ind w:firstLine="0" w:firstLineChars="0"/>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提供国家版权局颁发的《计算机软件著作权登记证书》。</w:t>
            </w:r>
          </w:p>
        </w:tc>
      </w:tr>
      <w:tr w14:paraId="358378A0">
        <w:tblPrEx>
          <w:tblCellMar>
            <w:top w:w="0" w:type="dxa"/>
            <w:left w:w="108" w:type="dxa"/>
            <w:bottom w:w="0" w:type="dxa"/>
            <w:right w:w="108" w:type="dxa"/>
          </w:tblCellMar>
        </w:tblPrEx>
        <w:trPr>
          <w:trHeight w:val="2380" w:hRule="atLeast"/>
        </w:trPr>
        <w:tc>
          <w:tcPr>
            <w:tcW w:w="1743"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3E65B04">
            <w:pPr>
              <w:widowControl/>
              <w:spacing w:line="360" w:lineRule="auto"/>
              <w:ind w:firstLine="0" w:firstLineChars="0"/>
              <w:jc w:val="left"/>
              <w:textAlignment w:val="center"/>
              <w:rPr>
                <w:rFonts w:hint="eastAsia" w:ascii="宋体" w:hAnsi="宋体" w:eastAsia="宋体" w:cs="宋体"/>
                <w:color w:val="000000"/>
                <w:szCs w:val="21"/>
              </w:rPr>
            </w:pPr>
          </w:p>
        </w:tc>
        <w:tc>
          <w:tcPr>
            <w:tcW w:w="6804" w:type="dxa"/>
            <w:tcBorders>
              <w:top w:val="nil"/>
              <w:left w:val="single" w:color="000000" w:sz="4" w:space="0"/>
              <w:bottom w:val="single" w:color="000000" w:sz="4" w:space="0"/>
              <w:right w:val="single" w:color="000000" w:sz="4" w:space="0"/>
            </w:tcBorders>
            <w:shd w:val="clear" w:color="auto" w:fill="auto"/>
            <w:vAlign w:val="center"/>
          </w:tcPr>
          <w:p w14:paraId="3618D96A">
            <w:pPr>
              <w:widowControl/>
              <w:spacing w:line="360" w:lineRule="auto"/>
              <w:ind w:firstLine="0" w:firstLineChars="0"/>
              <w:textAlignment w:val="center"/>
              <w:rPr>
                <w:rFonts w:hint="eastAsia" w:ascii="宋体" w:hAnsi="宋体" w:eastAsia="宋体" w:cs="宋体"/>
                <w:color w:val="000000"/>
                <w:kern w:val="0"/>
                <w:szCs w:val="21"/>
                <w:lang w:val="zh-CN" w:bidi="ar"/>
              </w:rPr>
            </w:pPr>
            <w:r>
              <w:rPr>
                <w:rFonts w:hint="eastAsia" w:ascii="宋体" w:hAnsi="宋体" w:eastAsia="宋体" w:cs="宋体"/>
                <w:color w:val="000000"/>
                <w:kern w:val="0"/>
                <w:szCs w:val="21"/>
                <w:lang w:val="zh-CN" w:bidi="ar"/>
              </w:rPr>
              <w:t>1、</w:t>
            </w:r>
            <w:r>
              <w:rPr>
                <w:rFonts w:hint="eastAsia" w:ascii="宋体" w:hAnsi="宋体" w:cs="宋体"/>
                <w:color w:val="000000"/>
                <w:kern w:val="0"/>
                <w:szCs w:val="21"/>
                <w:lang w:val="zh-CN" w:bidi="ar"/>
              </w:rPr>
              <w:t>为保障用户利益，对于中标单位提供虚假参数强行中标的行为，经测试查实后根据相关政府采购法规执行，并按相关要求赔偿采购方相关损失。</w:t>
            </w:r>
          </w:p>
          <w:p w14:paraId="618C54E5">
            <w:pPr>
              <w:widowControl/>
              <w:spacing w:line="360" w:lineRule="auto"/>
              <w:ind w:firstLine="0" w:firstLineChars="0"/>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zh-CN" w:bidi="ar"/>
              </w:rPr>
              <w:t>2、供货时，软件授权名称须为项目使用人浙江康复医院，并能通过序列号查验，以免软件版权导致法律问题。</w:t>
            </w:r>
          </w:p>
        </w:tc>
      </w:tr>
    </w:tbl>
    <w:p w14:paraId="2C19457B">
      <w:pPr>
        <w:pStyle w:val="3"/>
        <w:spacing w:line="360" w:lineRule="auto"/>
        <w:jc w:val="both"/>
        <w:rPr>
          <w:rFonts w:hint="eastAsia" w:ascii="宋体" w:hAnsi="宋体" w:eastAsia="宋体" w:cs="宋体"/>
          <w:color w:val="auto"/>
          <w:sz w:val="21"/>
          <w:szCs w:val="21"/>
          <w:lang w:val="zh-CN"/>
          <w14:ligatures w14:val="none"/>
        </w:rPr>
      </w:pPr>
    </w:p>
    <w:p w14:paraId="7548C7ED">
      <w:pPr>
        <w:pStyle w:val="3"/>
        <w:spacing w:line="360" w:lineRule="auto"/>
        <w:jc w:val="both"/>
        <w:rPr>
          <w:rFonts w:hint="eastAsia" w:ascii="宋体" w:hAnsi="宋体" w:eastAsia="宋体" w:cs="宋体"/>
          <w:color w:val="auto"/>
          <w:sz w:val="21"/>
          <w:szCs w:val="21"/>
          <w:lang w:val="en-US" w:eastAsia="zh-CN"/>
          <w14:ligatures w14: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45979E77">
      <w:pPr>
        <w:pStyle w:val="3"/>
        <w:spacing w:line="360" w:lineRule="auto"/>
        <w:jc w:val="both"/>
        <w:rPr>
          <w:rFonts w:hint="eastAsia" w:ascii="宋体" w:hAnsi="宋体" w:eastAsia="宋体" w:cs="宋体"/>
          <w:color w:val="auto"/>
          <w:sz w:val="24"/>
          <w:szCs w:val="24"/>
          <w:lang w:val="zh-CN"/>
          <w14:ligatures w14:val="none"/>
        </w:rPr>
      </w:pPr>
      <w:r>
        <w:rPr>
          <w:rFonts w:hint="eastAsia" w:ascii="宋体" w:hAnsi="宋体" w:eastAsia="宋体" w:cs="宋体"/>
          <w:color w:val="auto"/>
          <w:sz w:val="24"/>
          <w:szCs w:val="24"/>
          <w:lang w:val="en-US" w:eastAsia="zh-CN"/>
          <w14:ligatures w14:val="none"/>
        </w:rPr>
        <w:t>2.4</w:t>
      </w:r>
      <w:r>
        <w:rPr>
          <w:rFonts w:hint="eastAsia" w:ascii="宋体" w:hAnsi="宋体" w:eastAsia="宋体" w:cs="宋体"/>
          <w:color w:val="auto"/>
          <w:sz w:val="24"/>
          <w:szCs w:val="24"/>
          <w:lang w:val="zh-CN"/>
          <w14:ligatures w14:val="none"/>
        </w:rPr>
        <w:t>数据中心服务器组件安全建设标准：</w:t>
      </w:r>
    </w:p>
    <w:tbl>
      <w:tblPr>
        <w:tblStyle w:val="63"/>
        <w:tblW w:w="9180"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530"/>
        <w:gridCol w:w="5670"/>
      </w:tblGrid>
      <w:tr w14:paraId="5981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7D48A2A">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序号</w:t>
            </w:r>
          </w:p>
        </w:tc>
        <w:tc>
          <w:tcPr>
            <w:tcW w:w="2806" w:type="dxa"/>
            <w:gridSpan w:val="2"/>
            <w:vAlign w:val="center"/>
          </w:tcPr>
          <w:p w14:paraId="4FC53590">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指标项</w:t>
            </w:r>
          </w:p>
        </w:tc>
        <w:tc>
          <w:tcPr>
            <w:tcW w:w="5670" w:type="dxa"/>
          </w:tcPr>
          <w:p w14:paraId="5BA4BA04">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技术指标</w:t>
            </w:r>
          </w:p>
        </w:tc>
      </w:tr>
      <w:tr w14:paraId="17F2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66CD7A4">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p>
        </w:tc>
        <w:tc>
          <w:tcPr>
            <w:tcW w:w="1276" w:type="dxa"/>
            <w:vAlign w:val="center"/>
          </w:tcPr>
          <w:p w14:paraId="58998CC3">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部署要求</w:t>
            </w:r>
          </w:p>
        </w:tc>
        <w:tc>
          <w:tcPr>
            <w:tcW w:w="1530" w:type="dxa"/>
            <w:vAlign w:val="center"/>
          </w:tcPr>
          <w:p w14:paraId="15B9FB0C">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部署模式</w:t>
            </w:r>
          </w:p>
        </w:tc>
        <w:tc>
          <w:tcPr>
            <w:tcW w:w="5670" w:type="dxa"/>
          </w:tcPr>
          <w:p w14:paraId="1AE0A58C">
            <w:pPr>
              <w:widowControl/>
              <w:spacing w:line="360" w:lineRule="auto"/>
              <w:ind w:firstLine="0" w:firstLineChars="0"/>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w:t>
            </w:r>
            <w:r>
              <w:rPr>
                <w:rFonts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Cs w:val="24"/>
                <w14:textFill>
                  <w14:solidFill>
                    <w14:schemeClr w14:val="tx1"/>
                  </w14:solidFill>
                </w14:textFill>
              </w:rPr>
              <w:t>支持Linux，Windows，信创物理机，虚拟机。</w:t>
            </w:r>
          </w:p>
          <w:p w14:paraId="373BA974">
            <w:pPr>
              <w:widowControl/>
              <w:spacing w:line="360" w:lineRule="auto"/>
              <w:ind w:firstLine="0" w:firstLineChars="0"/>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2.支持主机有代理，无代理方式部署。</w:t>
            </w:r>
          </w:p>
          <w:p w14:paraId="06E08675">
            <w:pPr>
              <w:pStyle w:val="16"/>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3.支持同步Vmware，浪潮，H3C等平台虚拟机信息。</w:t>
            </w:r>
          </w:p>
          <w:p w14:paraId="6E92FCA2">
            <w:pPr>
              <w:pStyle w:val="24"/>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提供截图证明材料。</w:t>
            </w:r>
          </w:p>
        </w:tc>
      </w:tr>
      <w:tr w14:paraId="588E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4" w:type="dxa"/>
            <w:vAlign w:val="center"/>
          </w:tcPr>
          <w:p w14:paraId="59AE90CC">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w:t>
            </w:r>
          </w:p>
        </w:tc>
        <w:tc>
          <w:tcPr>
            <w:tcW w:w="1276" w:type="dxa"/>
            <w:vAlign w:val="center"/>
          </w:tcPr>
          <w:p w14:paraId="18F5C7DD">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性能要求</w:t>
            </w:r>
          </w:p>
        </w:tc>
        <w:tc>
          <w:tcPr>
            <w:tcW w:w="1530" w:type="dxa"/>
            <w:vAlign w:val="center"/>
          </w:tcPr>
          <w:p w14:paraId="28013663">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性能要求</w:t>
            </w:r>
          </w:p>
        </w:tc>
        <w:tc>
          <w:tcPr>
            <w:tcW w:w="5670" w:type="dxa"/>
          </w:tcPr>
          <w:p w14:paraId="51904A48">
            <w:pPr>
              <w:widowControl/>
              <w:spacing w:line="360" w:lineRule="auto"/>
              <w:ind w:firstLine="0" w:firstLineChars="0"/>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w:t>
            </w:r>
            <w:r>
              <w:rPr>
                <w:rFonts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Cs w:val="24"/>
                <w14:textFill>
                  <w14:solidFill>
                    <w14:schemeClr w14:val="tx1"/>
                  </w14:solidFill>
                </w14:textFill>
              </w:rPr>
              <w:t>主机安全防护软件Agent应对现有业务不会产生任何影响。</w:t>
            </w:r>
          </w:p>
          <w:p w14:paraId="277E8F97">
            <w:pPr>
              <w:pStyle w:val="16"/>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2.主机安全防护软件应具备秒级快速响应能力以保证实时性和高效性。</w:t>
            </w:r>
          </w:p>
          <w:p w14:paraId="3D5748C1">
            <w:pPr>
              <w:pStyle w:val="16"/>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3.管理中心支持30个节点的授权。</w:t>
            </w:r>
          </w:p>
        </w:tc>
      </w:tr>
      <w:tr w14:paraId="1331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FAA2B88">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w:t>
            </w:r>
          </w:p>
        </w:tc>
        <w:tc>
          <w:tcPr>
            <w:tcW w:w="1276" w:type="dxa"/>
            <w:vAlign w:val="center"/>
          </w:tcPr>
          <w:p w14:paraId="3E54FC1D">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软件维护要求</w:t>
            </w:r>
          </w:p>
        </w:tc>
        <w:tc>
          <w:tcPr>
            <w:tcW w:w="1530" w:type="dxa"/>
            <w:vAlign w:val="center"/>
          </w:tcPr>
          <w:p w14:paraId="5D58BA2D">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软件维护要求</w:t>
            </w:r>
          </w:p>
        </w:tc>
        <w:tc>
          <w:tcPr>
            <w:tcW w:w="5670" w:type="dxa"/>
          </w:tcPr>
          <w:p w14:paraId="2FEB41CA">
            <w:pPr>
              <w:widowControl/>
              <w:spacing w:line="360" w:lineRule="auto"/>
              <w:ind w:firstLine="0" w:firstLineChars="0"/>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w:t>
            </w:r>
            <w:r>
              <w:rPr>
                <w:rFonts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Cs w:val="24"/>
                <w14:textFill>
                  <w14:solidFill>
                    <w14:schemeClr w14:val="tx1"/>
                  </w14:solidFill>
                </w14:textFill>
              </w:rPr>
              <w:t>统一管理平台应提供备份恢复机制，支持对备份文件进行导出和导入操作，支持通过将备份的配置文件和用户数据文件的导入操作，实现配置恢复和用户数据恢复。</w:t>
            </w:r>
          </w:p>
          <w:p w14:paraId="6F47BC5E">
            <w:pPr>
              <w:pStyle w:val="16"/>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 软件版本、防病毒引擎、病毒库、规则库和特征库等应支持离线升级和自动升级，离线升级可通过已经下载的升级包实现升级。</w:t>
            </w:r>
          </w:p>
          <w:p w14:paraId="2E12681F">
            <w:pPr>
              <w:pStyle w:val="16"/>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 支持3年软件版本升级，支持3年的防病毒引擎和病毒库升级。</w:t>
            </w:r>
          </w:p>
        </w:tc>
      </w:tr>
      <w:tr w14:paraId="304C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334111E">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w:t>
            </w:r>
          </w:p>
        </w:tc>
        <w:tc>
          <w:tcPr>
            <w:tcW w:w="1276" w:type="dxa"/>
            <w:vMerge w:val="restart"/>
            <w:vAlign w:val="center"/>
          </w:tcPr>
          <w:p w14:paraId="5F8196F8">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功能要求</w:t>
            </w:r>
          </w:p>
        </w:tc>
        <w:tc>
          <w:tcPr>
            <w:tcW w:w="1530" w:type="dxa"/>
            <w:vAlign w:val="center"/>
          </w:tcPr>
          <w:p w14:paraId="09899797">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网络可视化</w:t>
            </w:r>
          </w:p>
        </w:tc>
        <w:tc>
          <w:tcPr>
            <w:tcW w:w="5670" w:type="dxa"/>
          </w:tcPr>
          <w:p w14:paraId="7E893A1E">
            <w:pPr>
              <w:pStyle w:val="533"/>
              <w:widowControl/>
              <w:spacing w:line="360" w:lineRule="auto"/>
              <w:ind w:firstLine="0" w:firstLineChars="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1.可视化网络访问关系，根据历史流量提供主机间访问拓扑，可查看负载之间的网路流量，端口信息以及负载所遭受的安全威胁。（</w:t>
            </w:r>
            <w:r>
              <w:rPr>
                <w:rFonts w:hint="eastAsia" w:ascii="宋体" w:hAnsi="宋体" w:eastAsia="宋体" w:cs="宋体"/>
                <w:bCs/>
                <w:color w:val="000000" w:themeColor="text1"/>
                <w:sz w:val="24"/>
                <w:lang w:val="en-US" w:eastAsia="zh-CN"/>
                <w14:textFill>
                  <w14:solidFill>
                    <w14:schemeClr w14:val="tx1"/>
                  </w14:solidFill>
                </w14:textFill>
              </w:rPr>
              <w:t>投标时</w:t>
            </w:r>
            <w:r>
              <w:rPr>
                <w:rFonts w:hint="eastAsia" w:ascii="宋体" w:hAnsi="宋体" w:eastAsia="宋体" w:cs="宋体"/>
                <w:bCs/>
                <w:color w:val="000000" w:themeColor="text1"/>
                <w:sz w:val="24"/>
                <w14:textFill>
                  <w14:solidFill>
                    <w14:schemeClr w14:val="tx1"/>
                  </w14:solidFill>
                </w14:textFill>
              </w:rPr>
              <w:t>提供产品截图）</w:t>
            </w:r>
          </w:p>
          <w:p w14:paraId="71878EED">
            <w:pPr>
              <w:pStyle w:val="533"/>
              <w:widowControl/>
              <w:spacing w:line="360" w:lineRule="auto"/>
              <w:ind w:firstLine="0" w:firstLineChars="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2.支持按时间，按范围过滤查看网络拓扑。</w:t>
            </w:r>
          </w:p>
          <w:p w14:paraId="78830804">
            <w:pPr>
              <w:pStyle w:val="533"/>
              <w:widowControl/>
              <w:spacing w:line="360" w:lineRule="auto"/>
              <w:ind w:firstLine="0" w:firstLineChars="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3.基于历史访问，分析流量，新建连接等信息。</w:t>
            </w:r>
          </w:p>
          <w:p w14:paraId="55D76D46">
            <w:pPr>
              <w:pStyle w:val="533"/>
              <w:widowControl/>
              <w:spacing w:line="360" w:lineRule="auto"/>
              <w:ind w:firstLine="0" w:firstLineChars="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4.支持绘制流量，带宽TOP图，历史趋势图。</w:t>
            </w:r>
          </w:p>
          <w:p w14:paraId="4487FEF4">
            <w:pPr>
              <w:pStyle w:val="533"/>
              <w:widowControl/>
              <w:spacing w:line="360" w:lineRule="auto"/>
              <w:ind w:firstLine="0" w:firstLineChars="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5.支持查看历史流量访问信息，展示源地址，目的地址，目的端口等信息。</w:t>
            </w:r>
          </w:p>
        </w:tc>
      </w:tr>
      <w:tr w14:paraId="0E00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04" w:type="dxa"/>
            <w:vAlign w:val="center"/>
          </w:tcPr>
          <w:p w14:paraId="0B5736A0">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w:t>
            </w:r>
          </w:p>
        </w:tc>
        <w:tc>
          <w:tcPr>
            <w:tcW w:w="1276" w:type="dxa"/>
            <w:vMerge w:val="continue"/>
            <w:vAlign w:val="center"/>
          </w:tcPr>
          <w:p w14:paraId="2BD73CB1">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7B401E5A">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资产管理</w:t>
            </w:r>
          </w:p>
        </w:tc>
        <w:tc>
          <w:tcPr>
            <w:tcW w:w="5670" w:type="dxa"/>
          </w:tcPr>
          <w:p w14:paraId="65D94A8B">
            <w:pPr>
              <w:spacing w:line="360" w:lineRule="auto"/>
              <w:ind w:firstLine="0" w:firstLineChars="0"/>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1.支持资产清点，清点主机，进程，端口，内核，运行应用，Web服务，数据库，计划任务，用户账号。 </w:t>
            </w:r>
          </w:p>
          <w:p w14:paraId="5C0DAD68">
            <w:pPr>
              <w:spacing w:line="360" w:lineRule="auto"/>
              <w:ind w:firstLine="0" w:firstLineChars="0"/>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2.支持定时同步资产，设置采集频率。</w:t>
            </w:r>
          </w:p>
          <w:p w14:paraId="13C252BD">
            <w:pPr>
              <w:spacing w:line="360" w:lineRule="auto"/>
              <w:ind w:firstLine="0" w:firstLineChars="0"/>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3.支持立即同步资产，完成资产分析。</w:t>
            </w:r>
          </w:p>
          <w:p w14:paraId="20ECDBFA">
            <w:pPr>
              <w:spacing w:line="360" w:lineRule="auto"/>
              <w:ind w:firstLine="0" w:firstLineChars="0"/>
              <w:jc w:val="left"/>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bCs/>
                <w:color w:val="000000" w:themeColor="text1"/>
                <w:szCs w:val="24"/>
                <w14:textFill>
                  <w14:solidFill>
                    <w14:schemeClr w14:val="tx1"/>
                  </w14:solidFill>
                </w14:textFill>
              </w:rPr>
              <w:t>4.至少支持3层以上资产分组管理，可自定义分组管理。（</w:t>
            </w:r>
            <w:r>
              <w:rPr>
                <w:rFonts w:hint="eastAsia" w:ascii="宋体" w:hAnsi="宋体" w:eastAsia="宋体" w:cs="宋体"/>
                <w:bCs/>
                <w:color w:val="000000" w:themeColor="text1"/>
                <w:szCs w:val="24"/>
                <w:lang w:val="en-US" w:eastAsia="zh-CN"/>
                <w14:textFill>
                  <w14:solidFill>
                    <w14:schemeClr w14:val="tx1"/>
                  </w14:solidFill>
                </w14:textFill>
              </w:rPr>
              <w:t>投标时</w:t>
            </w:r>
            <w:r>
              <w:rPr>
                <w:rFonts w:hint="eastAsia" w:ascii="宋体" w:hAnsi="宋体" w:eastAsia="宋体" w:cs="宋体"/>
                <w:bCs/>
                <w:color w:val="000000" w:themeColor="text1"/>
                <w:szCs w:val="24"/>
                <w14:textFill>
                  <w14:solidFill>
                    <w14:schemeClr w14:val="tx1"/>
                  </w14:solidFill>
                </w14:textFill>
              </w:rPr>
              <w:t>提供产品截图）</w:t>
            </w:r>
          </w:p>
          <w:p w14:paraId="39BFCBF4">
            <w:pPr>
              <w:pStyle w:val="24"/>
              <w:spacing w:line="360" w:lineRule="auto"/>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5.支持指定，取消分组的分配。</w:t>
            </w:r>
          </w:p>
        </w:tc>
      </w:tr>
      <w:tr w14:paraId="72CE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04" w:type="dxa"/>
            <w:vAlign w:val="center"/>
          </w:tcPr>
          <w:p w14:paraId="375B2452">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6</w:t>
            </w:r>
          </w:p>
        </w:tc>
        <w:tc>
          <w:tcPr>
            <w:tcW w:w="1276" w:type="dxa"/>
            <w:vMerge w:val="continue"/>
            <w:vAlign w:val="center"/>
          </w:tcPr>
          <w:p w14:paraId="3E8D3C93">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4B59A4A0">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漏洞管理</w:t>
            </w:r>
          </w:p>
        </w:tc>
        <w:tc>
          <w:tcPr>
            <w:tcW w:w="5670" w:type="dxa"/>
          </w:tcPr>
          <w:p w14:paraId="490D6411">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1.支持检测主机漏洞，展现漏洞细节，如利用难度，攻击途经等，提供修复建议和影响范围评估。 </w:t>
            </w:r>
          </w:p>
          <w:p w14:paraId="21C4C721">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2.支持检测Web漏洞，展现漏洞细节，如利用难度，攻击途经等，提供修复建议和影响范围评估。 </w:t>
            </w:r>
          </w:p>
          <w:p w14:paraId="1518067F">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3.支持检测数据库漏洞，展现漏洞细节，如利用难度，攻击途经等，提供修复建议和影响范围评估。 </w:t>
            </w:r>
          </w:p>
          <w:p w14:paraId="55BDF0E1">
            <w:pPr>
              <w:pStyle w:val="24"/>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4.支持从资产视角和漏洞视角查看扫描结果；并导出漏洞详情。</w:t>
            </w:r>
          </w:p>
        </w:tc>
      </w:tr>
      <w:tr w14:paraId="3051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33B018B">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7</w:t>
            </w:r>
          </w:p>
        </w:tc>
        <w:tc>
          <w:tcPr>
            <w:tcW w:w="1276" w:type="dxa"/>
            <w:vMerge w:val="continue"/>
            <w:vAlign w:val="center"/>
          </w:tcPr>
          <w:p w14:paraId="09B6D77D">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46758D69">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合规基线</w:t>
            </w:r>
          </w:p>
        </w:tc>
        <w:tc>
          <w:tcPr>
            <w:tcW w:w="5670" w:type="dxa"/>
          </w:tcPr>
          <w:p w14:paraId="26BECC0E">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1.支持检测主机基线，提供修复建议和影响范围评估。</w:t>
            </w:r>
          </w:p>
          <w:p w14:paraId="00A6F441">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2.支持检测Web基线，提供修复建议和影响范围评估。 </w:t>
            </w:r>
          </w:p>
          <w:p w14:paraId="1FF519D0">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3.支持检测数据库合规，提供修复建议和影响范围评估。 </w:t>
            </w:r>
          </w:p>
          <w:p w14:paraId="18EBFCE2">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4.支持自定义合规基线。</w:t>
            </w:r>
          </w:p>
        </w:tc>
      </w:tr>
      <w:tr w14:paraId="0B86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E695F9">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8</w:t>
            </w:r>
          </w:p>
        </w:tc>
        <w:tc>
          <w:tcPr>
            <w:tcW w:w="1276" w:type="dxa"/>
            <w:vMerge w:val="continue"/>
            <w:vAlign w:val="center"/>
          </w:tcPr>
          <w:p w14:paraId="6A1445F0">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26CBED7E">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弱口令检测</w:t>
            </w:r>
          </w:p>
        </w:tc>
        <w:tc>
          <w:tcPr>
            <w:tcW w:w="5670" w:type="dxa"/>
          </w:tcPr>
          <w:p w14:paraId="7862C46D">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1.支持检测操作系统弱口令、数据库弱口令。</w:t>
            </w:r>
          </w:p>
          <w:p w14:paraId="001678A5">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2.支持用户自定义字典，支持自定义组合密码，弱密码检测过程不受登录策略的影响，支持字典库导入。</w:t>
            </w:r>
          </w:p>
          <w:p w14:paraId="791F0CE8">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3.支持批量配置白名单规则，批量按照应用、账号、账号状态、密码类型加入白名单。</w:t>
            </w:r>
          </w:p>
          <w:p w14:paraId="373F1E9D">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4.支持弱密码密文隐藏密码值，也支持明文查看弱密码。</w:t>
            </w:r>
          </w:p>
        </w:tc>
      </w:tr>
      <w:tr w14:paraId="03DD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152B2C">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9</w:t>
            </w:r>
          </w:p>
        </w:tc>
        <w:tc>
          <w:tcPr>
            <w:tcW w:w="1276" w:type="dxa"/>
            <w:vMerge w:val="continue"/>
            <w:vAlign w:val="center"/>
          </w:tcPr>
          <w:p w14:paraId="422604D6">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47945504">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完整性监控</w:t>
            </w:r>
          </w:p>
        </w:tc>
        <w:tc>
          <w:tcPr>
            <w:tcW w:w="5670" w:type="dxa"/>
          </w:tcPr>
          <w:p w14:paraId="208E5B0A">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1.支持检测文件和目录的修改，增删，权限变更。</w:t>
            </w:r>
          </w:p>
          <w:p w14:paraId="10474748">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2.支持显示文件变更内容。</w:t>
            </w:r>
          </w:p>
          <w:p w14:paraId="198654EC">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3.支持注册表变动监控。</w:t>
            </w:r>
          </w:p>
          <w:p w14:paraId="5174AB50">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bCs/>
                <w:color w:val="000000" w:themeColor="text1"/>
                <w:szCs w:val="24"/>
                <w14:textFill>
                  <w14:solidFill>
                    <w14:schemeClr w14:val="tx1"/>
                  </w14:solidFill>
                </w14:textFill>
              </w:rPr>
              <w:t>4.支持自定义监控规则。（</w:t>
            </w:r>
            <w:r>
              <w:rPr>
                <w:rFonts w:hint="eastAsia" w:ascii="宋体" w:hAnsi="宋体" w:eastAsia="宋体" w:cs="宋体"/>
                <w:bCs/>
                <w:color w:val="000000" w:themeColor="text1"/>
                <w:szCs w:val="24"/>
                <w:lang w:val="en-US" w:eastAsia="zh-CN"/>
                <w14:textFill>
                  <w14:solidFill>
                    <w14:schemeClr w14:val="tx1"/>
                  </w14:solidFill>
                </w14:textFill>
              </w:rPr>
              <w:t>投标时</w:t>
            </w:r>
            <w:r>
              <w:rPr>
                <w:rFonts w:hint="eastAsia" w:ascii="宋体" w:hAnsi="宋体" w:eastAsia="宋体" w:cs="宋体"/>
                <w:bCs/>
                <w:color w:val="000000" w:themeColor="text1"/>
                <w:szCs w:val="24"/>
                <w14:textFill>
                  <w14:solidFill>
                    <w14:schemeClr w14:val="tx1"/>
                  </w14:solidFill>
                </w14:textFill>
              </w:rPr>
              <w:t>提供产品截图）</w:t>
            </w:r>
          </w:p>
        </w:tc>
      </w:tr>
      <w:tr w14:paraId="573F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0F49804">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10</w:t>
            </w:r>
          </w:p>
        </w:tc>
        <w:tc>
          <w:tcPr>
            <w:tcW w:w="1276" w:type="dxa"/>
            <w:vMerge w:val="continue"/>
            <w:vAlign w:val="center"/>
          </w:tcPr>
          <w:p w14:paraId="5278C178">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7DA307A2">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微隔离</w:t>
            </w:r>
          </w:p>
        </w:tc>
        <w:tc>
          <w:tcPr>
            <w:tcW w:w="5670" w:type="dxa"/>
          </w:tcPr>
          <w:p w14:paraId="7268D965">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1.支持基于ICMP，TCP，UDP，NDS协议的微隔策略。 </w:t>
            </w:r>
          </w:p>
          <w:p w14:paraId="3B68E829">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2.支持基于主机，IP地址，分组，MAC地址定义隔离源和目标。 </w:t>
            </w:r>
          </w:p>
          <w:p w14:paraId="429F3919">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3.支持对违反策略的行为设置“阻止”，“允许”，“审计”，“强制允许”。 </w:t>
            </w:r>
          </w:p>
          <w:p w14:paraId="715E4381">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bCs/>
                <w:color w:val="000000" w:themeColor="text1"/>
                <w:szCs w:val="24"/>
                <w14:textFill>
                  <w14:solidFill>
                    <w14:schemeClr w14:val="tx1"/>
                  </w14:solidFill>
                </w14:textFill>
              </w:rPr>
              <w:t>4.支持自学习网络关系，自动生成相关策略。（</w:t>
            </w:r>
            <w:r>
              <w:rPr>
                <w:rFonts w:hint="eastAsia" w:ascii="宋体" w:hAnsi="宋体" w:eastAsia="宋体" w:cs="宋体"/>
                <w:bCs/>
                <w:color w:val="000000" w:themeColor="text1"/>
                <w:szCs w:val="24"/>
                <w:lang w:val="en-US" w:eastAsia="zh-CN"/>
                <w14:textFill>
                  <w14:solidFill>
                    <w14:schemeClr w14:val="tx1"/>
                  </w14:solidFill>
                </w14:textFill>
              </w:rPr>
              <w:t>投标时</w:t>
            </w:r>
            <w:r>
              <w:rPr>
                <w:rFonts w:hint="eastAsia" w:ascii="宋体" w:hAnsi="宋体" w:eastAsia="宋体" w:cs="宋体"/>
                <w:bCs/>
                <w:color w:val="000000" w:themeColor="text1"/>
                <w:szCs w:val="24"/>
                <w14:textFill>
                  <w14:solidFill>
                    <w14:schemeClr w14:val="tx1"/>
                  </w14:solidFill>
                </w14:textFill>
              </w:rPr>
              <w:t>提供产品截图）</w:t>
            </w:r>
          </w:p>
          <w:p w14:paraId="48509A62">
            <w:pPr>
              <w:pStyle w:val="16"/>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5.支持识别矿池地址信息，挖矿协议，阻断或审计挖矿行为。</w:t>
            </w:r>
          </w:p>
        </w:tc>
      </w:tr>
      <w:tr w14:paraId="42B6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8FC74E5">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11</w:t>
            </w:r>
          </w:p>
        </w:tc>
        <w:tc>
          <w:tcPr>
            <w:tcW w:w="1276" w:type="dxa"/>
            <w:vMerge w:val="continue"/>
            <w:vAlign w:val="center"/>
          </w:tcPr>
          <w:p w14:paraId="481D59F8">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291164B3">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防病毒</w:t>
            </w:r>
          </w:p>
        </w:tc>
        <w:tc>
          <w:tcPr>
            <w:tcW w:w="5670" w:type="dxa"/>
          </w:tcPr>
          <w:p w14:paraId="1B50E632">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1.支持实时检测，定时检测，手动检测病毒。 </w:t>
            </w:r>
          </w:p>
          <w:p w14:paraId="099BC45D">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2.支持提供隔离，修复，删除，审计动作。 </w:t>
            </w:r>
          </w:p>
          <w:p w14:paraId="37C8E01A">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3.支持自定义病毒黑白名单。 </w:t>
            </w:r>
          </w:p>
          <w:p w14:paraId="304A27C1">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4.支持设置防护等级，在读取、写入、关闭文件的时机分别触发杀毒。</w:t>
            </w:r>
          </w:p>
          <w:p w14:paraId="27E3D694">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5.支持设置压缩包文件解压层数，查杀病毒后修复压缩包。</w:t>
            </w:r>
          </w:p>
          <w:p w14:paraId="6AABBFD5">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6.支持勒索病毒增加检测，设置诱饵文件，访问则终止勒索进程。</w:t>
            </w:r>
          </w:p>
          <w:p w14:paraId="59EB46F0">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7.支持设置本地引擎查杀和服务器引擎查杀两种方式。</w:t>
            </w:r>
          </w:p>
          <w:p w14:paraId="320D48FE">
            <w:pPr>
              <w:spacing w:line="360" w:lineRule="auto"/>
              <w:ind w:firstLine="0"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★8.支持实时查杀主机dockder容器中的病毒。（</w:t>
            </w:r>
            <w:r>
              <w:rPr>
                <w:rFonts w:hint="eastAsia" w:ascii="宋体" w:hAnsi="宋体" w:eastAsia="宋体" w:cs="宋体"/>
                <w:bCs/>
                <w:color w:val="000000" w:themeColor="text1"/>
                <w:szCs w:val="24"/>
                <w:lang w:val="en-US" w:eastAsia="zh-CN"/>
                <w14:textFill>
                  <w14:solidFill>
                    <w14:schemeClr w14:val="tx1"/>
                  </w14:solidFill>
                </w14:textFill>
              </w:rPr>
              <w:t>投标时</w:t>
            </w:r>
            <w:r>
              <w:rPr>
                <w:rFonts w:hint="eastAsia" w:ascii="宋体" w:hAnsi="宋体" w:eastAsia="宋体" w:cs="宋体"/>
                <w:bCs/>
                <w:color w:val="000000" w:themeColor="text1"/>
                <w:szCs w:val="24"/>
                <w14:textFill>
                  <w14:solidFill>
                    <w14:schemeClr w14:val="tx1"/>
                  </w14:solidFill>
                </w14:textFill>
              </w:rPr>
              <w:t>提供产品截图）</w:t>
            </w:r>
          </w:p>
        </w:tc>
      </w:tr>
      <w:tr w14:paraId="41BB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4" w:type="dxa"/>
            <w:vAlign w:val="center"/>
          </w:tcPr>
          <w:p w14:paraId="5D9137D4">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12</w:t>
            </w:r>
          </w:p>
        </w:tc>
        <w:tc>
          <w:tcPr>
            <w:tcW w:w="1276" w:type="dxa"/>
            <w:vMerge w:val="continue"/>
            <w:vAlign w:val="center"/>
          </w:tcPr>
          <w:p w14:paraId="271799B5">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4F70787D">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WebShell</w:t>
            </w:r>
          </w:p>
        </w:tc>
        <w:tc>
          <w:tcPr>
            <w:tcW w:w="5670" w:type="dxa"/>
          </w:tcPr>
          <w:p w14:paraId="28CB350B">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 支持实时检测，定时检测，手动检测WebShell。</w:t>
            </w:r>
          </w:p>
          <w:p w14:paraId="16BEB47A">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2. 支持删除，隔离WebShell文件。 </w:t>
            </w:r>
          </w:p>
          <w:p w14:paraId="2D1E58C1">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 支持自定义WebShell黑白名单。</w:t>
            </w:r>
          </w:p>
          <w:p w14:paraId="003FB2F1">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 支持下载webshell文件分析。</w:t>
            </w:r>
          </w:p>
          <w:p w14:paraId="26C07E53">
            <w:pPr>
              <w:spacing w:line="360" w:lineRule="auto"/>
              <w:ind w:firstLine="0"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5. 支持实时查杀docker容器中的webshell文件。</w:t>
            </w:r>
          </w:p>
        </w:tc>
      </w:tr>
      <w:tr w14:paraId="52DC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F1C91F2">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13</w:t>
            </w:r>
          </w:p>
        </w:tc>
        <w:tc>
          <w:tcPr>
            <w:tcW w:w="1276" w:type="dxa"/>
            <w:vMerge w:val="continue"/>
            <w:vAlign w:val="center"/>
          </w:tcPr>
          <w:p w14:paraId="4617CAD4">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19CCFFA9">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防暴力破解</w:t>
            </w:r>
          </w:p>
        </w:tc>
        <w:tc>
          <w:tcPr>
            <w:tcW w:w="5670" w:type="dxa"/>
          </w:tcPr>
          <w:p w14:paraId="6878A54C">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1.支持sshd，rdp，smb，vsftp，samba，telnet等协议的暴力破解。</w:t>
            </w:r>
          </w:p>
          <w:p w14:paraId="776A4992">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2.支持对操作系统口令暴力破解行为检测，在多次尝试登录失败后，有暴力破解失败安全事件上报。</w:t>
            </w:r>
          </w:p>
          <w:p w14:paraId="439554A2">
            <w:pPr>
              <w:pStyle w:val="24"/>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3.支持对暴力破解行为设置记录并拦截、记录不拦截两种模式，支持手动加入白名单或永久封停操作。</w:t>
            </w:r>
          </w:p>
        </w:tc>
      </w:tr>
      <w:tr w14:paraId="342F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63C653F">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14</w:t>
            </w:r>
          </w:p>
        </w:tc>
        <w:tc>
          <w:tcPr>
            <w:tcW w:w="1276" w:type="dxa"/>
            <w:vMerge w:val="continue"/>
            <w:vAlign w:val="center"/>
          </w:tcPr>
          <w:p w14:paraId="06050B2A">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0A8A05AE">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异常登录</w:t>
            </w:r>
          </w:p>
        </w:tc>
        <w:tc>
          <w:tcPr>
            <w:tcW w:w="5670" w:type="dxa"/>
          </w:tcPr>
          <w:p w14:paraId="6C089942">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1.支持记录异常登录信息，包括异常地点、异常IP、异常时间信息。</w:t>
            </w:r>
          </w:p>
          <w:p w14:paraId="20EC69E5">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2.支持检测非合法IP登录行为，支持手动配置服务器合法登录IP（如堡垒机IP、办公网IP等），若使用非指定的IP登录登录，则触发告警。</w:t>
            </w:r>
          </w:p>
          <w:p w14:paraId="28A745D8">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3.支持检测常用时间段登录行为，若在非常用时间段登录，则触发告警。</w:t>
            </w:r>
          </w:p>
        </w:tc>
      </w:tr>
      <w:tr w14:paraId="0785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FD80A07">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15</w:t>
            </w:r>
          </w:p>
        </w:tc>
        <w:tc>
          <w:tcPr>
            <w:tcW w:w="1276" w:type="dxa"/>
            <w:vMerge w:val="continue"/>
            <w:vAlign w:val="center"/>
          </w:tcPr>
          <w:p w14:paraId="6E05702D">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61AD730B">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虚拟补丁</w:t>
            </w:r>
          </w:p>
        </w:tc>
        <w:tc>
          <w:tcPr>
            <w:tcW w:w="5670" w:type="dxa"/>
          </w:tcPr>
          <w:p w14:paraId="56236135">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1.支持通过协议分析、流量异常监视等手段判断网络入侵行为，发现并阻断网络攻击行为。 </w:t>
            </w:r>
          </w:p>
          <w:p w14:paraId="265523E5">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2.支持虚拟补丁规则不少于6000条。 </w:t>
            </w:r>
          </w:p>
          <w:p w14:paraId="2B4EC26A">
            <w:pPr>
              <w:spacing w:line="360" w:lineRule="auto"/>
              <w:ind w:firstLine="0"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★3.支持主机和主机内容器虚拟补丁。（</w:t>
            </w:r>
            <w:r>
              <w:rPr>
                <w:rFonts w:hint="eastAsia" w:ascii="宋体" w:hAnsi="宋体" w:eastAsia="宋体" w:cs="宋体"/>
                <w:bCs/>
                <w:color w:val="000000" w:themeColor="text1"/>
                <w:szCs w:val="24"/>
                <w:lang w:val="en-US" w:eastAsia="zh-CN"/>
                <w14:textFill>
                  <w14:solidFill>
                    <w14:schemeClr w14:val="tx1"/>
                  </w14:solidFill>
                </w14:textFill>
              </w:rPr>
              <w:t>投标时</w:t>
            </w:r>
            <w:r>
              <w:rPr>
                <w:rFonts w:hint="eastAsia" w:ascii="宋体" w:hAnsi="宋体" w:eastAsia="宋体" w:cs="宋体"/>
                <w:bCs/>
                <w:color w:val="000000" w:themeColor="text1"/>
                <w:szCs w:val="24"/>
                <w14:textFill>
                  <w14:solidFill>
                    <w14:schemeClr w14:val="tx1"/>
                  </w14:solidFill>
                </w14:textFill>
              </w:rPr>
              <w:t>提供产品截图）</w:t>
            </w:r>
          </w:p>
        </w:tc>
      </w:tr>
      <w:tr w14:paraId="11DC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7895F4C">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16</w:t>
            </w:r>
          </w:p>
        </w:tc>
        <w:tc>
          <w:tcPr>
            <w:tcW w:w="1276" w:type="dxa"/>
            <w:vMerge w:val="continue"/>
            <w:vAlign w:val="center"/>
          </w:tcPr>
          <w:p w14:paraId="0C19B031">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50890983">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恶意行为检测</w:t>
            </w:r>
          </w:p>
        </w:tc>
        <w:tc>
          <w:tcPr>
            <w:tcW w:w="5670" w:type="dxa"/>
          </w:tcPr>
          <w:p w14:paraId="343ECBE5">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1.支持检测Web程序运行系统命令，反弹Shell，敏感信息探测等恶意行为。</w:t>
            </w:r>
          </w:p>
          <w:p w14:paraId="6820D9D8">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2.支持检测提权，逃逸等恶意行为。</w:t>
            </w:r>
          </w:p>
          <w:p w14:paraId="4F522283">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3.支持自定义恶意行为白名单。</w:t>
            </w:r>
          </w:p>
          <w:p w14:paraId="1D02DCC6">
            <w:pPr>
              <w:spacing w:line="360" w:lineRule="auto"/>
              <w:ind w:firstLine="0"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4.支持自动响应恶意行为，隔离或恢复隔离主机（禁止网络访问）。</w:t>
            </w:r>
          </w:p>
        </w:tc>
      </w:tr>
      <w:tr w14:paraId="6D02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A6DF87">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17</w:t>
            </w:r>
          </w:p>
        </w:tc>
        <w:tc>
          <w:tcPr>
            <w:tcW w:w="1276" w:type="dxa"/>
            <w:vMerge w:val="continue"/>
            <w:vAlign w:val="center"/>
          </w:tcPr>
          <w:p w14:paraId="72DA0A9E">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31D641AA">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行为模型</w:t>
            </w:r>
          </w:p>
        </w:tc>
        <w:tc>
          <w:tcPr>
            <w:tcW w:w="5670" w:type="dxa"/>
          </w:tcPr>
          <w:p w14:paraId="03A1F0C0">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1.支持进程黑白名单控制，支持自学习运行的进程。</w:t>
            </w:r>
          </w:p>
          <w:p w14:paraId="769DAEFE">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2.支持路径访问控制，支持自学习路径访问权限。</w:t>
            </w:r>
          </w:p>
          <w:p w14:paraId="1A4F3DC9">
            <w:pPr>
              <w:spacing w:line="360" w:lineRule="auto"/>
              <w:ind w:firstLine="0"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★3.支持数据保护功能，限定某类型文件数据只能由某种进程访问，如数据库文件只能数据库进程访问。（</w:t>
            </w:r>
            <w:r>
              <w:rPr>
                <w:rFonts w:hint="eastAsia" w:ascii="宋体" w:hAnsi="宋体" w:eastAsia="宋体" w:cs="宋体"/>
                <w:bCs/>
                <w:color w:val="000000" w:themeColor="text1"/>
                <w:szCs w:val="24"/>
                <w:lang w:val="en-US" w:eastAsia="zh-CN"/>
                <w14:textFill>
                  <w14:solidFill>
                    <w14:schemeClr w14:val="tx1"/>
                  </w14:solidFill>
                </w14:textFill>
              </w:rPr>
              <w:t>投标时</w:t>
            </w:r>
            <w:r>
              <w:rPr>
                <w:rFonts w:hint="eastAsia" w:ascii="宋体" w:hAnsi="宋体" w:eastAsia="宋体" w:cs="宋体"/>
                <w:bCs/>
                <w:color w:val="000000" w:themeColor="text1"/>
                <w:szCs w:val="24"/>
                <w14:textFill>
                  <w14:solidFill>
                    <w14:schemeClr w14:val="tx1"/>
                  </w14:solidFill>
                </w14:textFill>
              </w:rPr>
              <w:t>提供产品截图）</w:t>
            </w:r>
          </w:p>
        </w:tc>
      </w:tr>
      <w:tr w14:paraId="7D21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43BD938">
            <w:pPr>
              <w:pStyle w:val="533"/>
              <w:spacing w:line="360" w:lineRule="auto"/>
              <w:ind w:firstLine="0" w:firstLineChars="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18</w:t>
            </w:r>
          </w:p>
        </w:tc>
        <w:tc>
          <w:tcPr>
            <w:tcW w:w="1276" w:type="dxa"/>
            <w:vMerge w:val="continue"/>
            <w:vAlign w:val="center"/>
          </w:tcPr>
          <w:p w14:paraId="0708FE82">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p>
        </w:tc>
        <w:tc>
          <w:tcPr>
            <w:tcW w:w="1530" w:type="dxa"/>
            <w:vAlign w:val="center"/>
          </w:tcPr>
          <w:p w14:paraId="7F186770">
            <w:pPr>
              <w:spacing w:line="360" w:lineRule="auto"/>
              <w:ind w:firstLine="0" w:firstLineChars="0"/>
              <w:jc w:val="center"/>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系统管理</w:t>
            </w:r>
          </w:p>
        </w:tc>
        <w:tc>
          <w:tcPr>
            <w:tcW w:w="5670" w:type="dxa"/>
          </w:tcPr>
          <w:p w14:paraId="664525F3">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1.支持订阅相关主题，定期或手动生成报表。</w:t>
            </w:r>
          </w:p>
          <w:p w14:paraId="05CDDBA2">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2.支持自定义告警规则，生成告警，可自动发送告警邮件。</w:t>
            </w:r>
          </w:p>
          <w:p w14:paraId="193674DB">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3.支持告警及相关日志转发，同时支持syslog和kafka转发日志。</w:t>
            </w:r>
          </w:p>
          <w:p w14:paraId="456F8F19">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4.支持自定义日志转发级别。</w:t>
            </w:r>
          </w:p>
          <w:p w14:paraId="63D1833A">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5.支持级联管理，一级中心，二级中心配置。</w:t>
            </w:r>
          </w:p>
          <w:p w14:paraId="77A43D68">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6.支持在线升级特征库，离线上传特征库。</w:t>
            </w:r>
          </w:p>
          <w:p w14:paraId="72D4A9DA">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7.支持使用许可管理，可按功能模块发放许可。</w:t>
            </w:r>
          </w:p>
          <w:p w14:paraId="6384FFC3">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8.支持多租和用户管理，可为用户分配详细的权限模型。</w:t>
            </w:r>
          </w:p>
          <w:p w14:paraId="0054C784">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9.支持高可用配置，可配置多个管理中心高可用。</w:t>
            </w:r>
          </w:p>
          <w:p w14:paraId="4F76C71A">
            <w:pPr>
              <w:spacing w:line="36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10.支持系统诊断，下载诊断日志，协助排查。</w:t>
            </w:r>
          </w:p>
          <w:p w14:paraId="1AC11A79">
            <w:pPr>
              <w:spacing w:line="360" w:lineRule="auto"/>
              <w:ind w:firstLine="0"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11.支持管理中心IP访问显示，登录失败锁定，多因子登录等安全方式。</w:t>
            </w:r>
          </w:p>
        </w:tc>
      </w:tr>
    </w:tbl>
    <w:p w14:paraId="2B882183">
      <w:pPr>
        <w:pStyle w:val="6"/>
        <w:bidi w:val="0"/>
        <w:spacing w:line="360" w:lineRule="auto"/>
        <w:ind w:firstLine="0" w:firstLineChars="0"/>
        <w:rPr>
          <w:rFonts w:hint="eastAsia"/>
          <w:lang w:val="en-US" w:eastAsia="zh-CN"/>
        </w:rPr>
      </w:pPr>
    </w:p>
    <w:p w14:paraId="25FF9AF0">
      <w:pPr>
        <w:pStyle w:val="3"/>
        <w:spacing w:line="360" w:lineRule="auto"/>
        <w:jc w:val="both"/>
        <w:rPr>
          <w:rFonts w:hint="eastAsia" w:ascii="宋体" w:hAnsi="宋体" w:eastAsia="宋体" w:cs="宋体"/>
          <w:color w:val="auto"/>
          <w:sz w:val="24"/>
          <w:szCs w:val="24"/>
          <w:lang w:val="zh-CN"/>
          <w14:ligatures w14:val="none"/>
        </w:rPr>
      </w:pPr>
      <w:r>
        <w:rPr>
          <w:rFonts w:hint="eastAsia" w:ascii="宋体" w:hAnsi="宋体" w:eastAsia="宋体" w:cs="宋体"/>
          <w:color w:val="auto"/>
          <w:sz w:val="24"/>
          <w:szCs w:val="24"/>
          <w:lang w:val="en-US" w:eastAsia="zh-CN"/>
          <w14:ligatures w14:val="none"/>
        </w:rPr>
        <w:t>2.</w:t>
      </w:r>
      <w:r>
        <w:rPr>
          <w:rFonts w:hint="eastAsia" w:ascii="宋体" w:hAnsi="宋体" w:cs="宋体"/>
          <w:color w:val="auto"/>
          <w:sz w:val="24"/>
          <w:szCs w:val="24"/>
          <w:lang w:val="en-US" w:eastAsia="zh-CN"/>
          <w14:ligatures w14:val="none"/>
        </w:rPr>
        <w:t>5</w:t>
      </w:r>
      <w:r>
        <w:rPr>
          <w:rFonts w:hint="eastAsia" w:ascii="宋体" w:hAnsi="宋体" w:eastAsia="宋体" w:cs="宋体"/>
          <w:color w:val="auto"/>
          <w:sz w:val="24"/>
          <w:szCs w:val="24"/>
          <w:lang w:val="zh-CN"/>
          <w14:ligatures w14:val="none"/>
        </w:rPr>
        <w:t>流量分析安全审计建设标准：</w:t>
      </w:r>
    </w:p>
    <w:tbl>
      <w:tblPr>
        <w:tblStyle w:val="6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229"/>
      </w:tblGrid>
      <w:tr w14:paraId="22B4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13" w:type="dxa"/>
            <w:vAlign w:val="center"/>
          </w:tcPr>
          <w:p w14:paraId="2DF0CB9C">
            <w:pPr>
              <w:widowControl/>
              <w:ind w:firstLine="0" w:firstLine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功能项</w:t>
            </w:r>
          </w:p>
        </w:tc>
        <w:tc>
          <w:tcPr>
            <w:tcW w:w="7229" w:type="dxa"/>
          </w:tcPr>
          <w:p w14:paraId="09BFEB5A">
            <w:pPr>
              <w:widowControl/>
              <w:ind w:firstLine="0" w:firstLineChars="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招标要求</w:t>
            </w:r>
          </w:p>
        </w:tc>
      </w:tr>
      <w:tr w14:paraId="2942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13" w:type="dxa"/>
            <w:vAlign w:val="center"/>
          </w:tcPr>
          <w:p w14:paraId="45DCC1F7">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系统架构</w:t>
            </w:r>
          </w:p>
        </w:tc>
        <w:tc>
          <w:tcPr>
            <w:tcW w:w="7229" w:type="dxa"/>
            <w:vAlign w:val="center"/>
          </w:tcPr>
          <w:p w14:paraId="4109F8D9">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软硬件一体化平台，实现对网络镜像流量和服务器探针集中式数据收集、数据存储、性能数据采集与存储、分析、报告、告警及展现；</w:t>
            </w:r>
          </w:p>
          <w:p w14:paraId="369C67B0">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系统支持C/S和B/S架构，管理客户端通过通用浏览器和专用客户端软件可对系统进行配置、管理、实时监控及历史查询</w:t>
            </w:r>
          </w:p>
        </w:tc>
      </w:tr>
      <w:tr w14:paraId="69BA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413" w:type="dxa"/>
            <w:vAlign w:val="center"/>
          </w:tcPr>
          <w:p w14:paraId="5B174F3B">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数据采集与存储</w:t>
            </w:r>
          </w:p>
        </w:tc>
        <w:tc>
          <w:tcPr>
            <w:tcW w:w="7229" w:type="dxa"/>
            <w:vAlign w:val="center"/>
          </w:tcPr>
          <w:p w14:paraId="44DE80AC">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支持动态裁切功能，能根据数据包不同的协议配置不同的偏移量、自动裁切有价值部分保存到硬盘，以保存更多的原始数据用于回溯分析。【</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w:t>
            </w:r>
          </w:p>
          <w:p w14:paraId="2EB29DD1">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支持对交换机镜像（SPAN）或TAP汇聚产生的重复流量去除重复数据包，要准确区分重传与重复流量，保证数据分析的准确性。【</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w:t>
            </w:r>
          </w:p>
          <w:p w14:paraId="204C62DD">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支持根据mac地址、IP地址、IP地址段、通讯协议、TCP/UDP端口或应用进行流量捕获和存储过滤(或以上条件的组合过滤策略)，被过滤流量不存储原始数据包，也不进行实时分析与统计；以及被过滤流量不存储原始数据包，但需要进行实时分析与统计。【</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w:t>
            </w:r>
          </w:p>
          <w:p w14:paraId="330F36E9">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所有探针支持1s、10s、1min、1h、1天等精度统计指标参数视图，根据不同精度自定义分配统计数据存储比例【</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提供统计指标精度存储截图证明】</w:t>
            </w:r>
          </w:p>
        </w:tc>
      </w:tr>
      <w:tr w14:paraId="33AE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13" w:type="dxa"/>
            <w:vMerge w:val="restart"/>
            <w:vAlign w:val="center"/>
          </w:tcPr>
          <w:p w14:paraId="6A8979C5">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数据精度及指标要求</w:t>
            </w:r>
          </w:p>
        </w:tc>
        <w:tc>
          <w:tcPr>
            <w:tcW w:w="7229" w:type="dxa"/>
            <w:vAlign w:val="center"/>
          </w:tcPr>
          <w:p w14:paraId="3711747A">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系统提供的KPI指标参数总数量不少于200+，包括但不限于总字节数、发送/接收字节数、发送/接收比特率、发送/接收数据包数、广播数据包数、组播数据包数、发送ARP请求/响应数、接收发送流量，接收发送数据包，比特率，数据包率，tcp连接请求数量，tcp同步响应数量，tcp同步重置数量，数据包的发收比，tcp连接请求无响应次数，tcp连接请求被重置次数、双向的tcp重传，tcp分段丢失，三次握手时延，tcp ack时延、会话的开始时间，持续时间，会话状态，应用协议类型，重传数量，分段丢失数量，重传率，分段丢失率，平均ACK时延，TCP交易数量，最大响应时间，平均响应时间等；【</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提供详细指标参数列表】</w:t>
            </w:r>
          </w:p>
        </w:tc>
      </w:tr>
      <w:tr w14:paraId="2458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13" w:type="dxa"/>
            <w:vMerge w:val="continue"/>
            <w:vAlign w:val="center"/>
          </w:tcPr>
          <w:p w14:paraId="3D11A3BC">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p>
        </w:tc>
        <w:tc>
          <w:tcPr>
            <w:tcW w:w="7229" w:type="dxa"/>
            <w:vAlign w:val="center"/>
          </w:tcPr>
          <w:p w14:paraId="68C3386A">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能够以1秒精度存储IP五元组会话及各维度的统计信息，支持追溯分析。支持自定1s、10s、1min、10min、1h、1天等精度实时视图，实时监控任意指标均能达到秒级刷新率。【</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w:t>
            </w:r>
          </w:p>
        </w:tc>
      </w:tr>
      <w:tr w14:paraId="119D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3" w:type="dxa"/>
            <w:vMerge w:val="restart"/>
            <w:vAlign w:val="center"/>
          </w:tcPr>
          <w:p w14:paraId="640B553E">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链路定义和基础分析功能</w:t>
            </w:r>
          </w:p>
        </w:tc>
        <w:tc>
          <w:tcPr>
            <w:tcW w:w="7229" w:type="dxa"/>
            <w:vAlign w:val="center"/>
          </w:tcPr>
          <w:p w14:paraId="21D20883">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支持根据链路层标签：VLAN、MAC、MPLS VPN、ISL VLAN、GRE、VxLAN、NetFlow、GENEVE、IP网段作为逻辑子接口建立不同的虚链路，实现全功能的分析参数;【</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w:t>
            </w:r>
          </w:p>
        </w:tc>
      </w:tr>
      <w:tr w14:paraId="6576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13" w:type="dxa"/>
            <w:vMerge w:val="continue"/>
            <w:vAlign w:val="center"/>
          </w:tcPr>
          <w:p w14:paraId="5AA0CB4D">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p>
        </w:tc>
        <w:tc>
          <w:tcPr>
            <w:tcW w:w="7229" w:type="dxa"/>
            <w:vAlign w:val="center"/>
          </w:tcPr>
          <w:p w14:paraId="65A426EE">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支持流量方向的定义，通过定义总部的网段，区分混合镜像流量的入站和出站流量。支持内外网监控分析，在链路监控视图中，能够直接选择查看内网或外网的的IP地址。【</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w:t>
            </w:r>
          </w:p>
        </w:tc>
      </w:tr>
      <w:tr w14:paraId="06F2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13" w:type="dxa"/>
            <w:vMerge w:val="continue"/>
            <w:vAlign w:val="center"/>
          </w:tcPr>
          <w:p w14:paraId="665C930D">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p>
        </w:tc>
        <w:tc>
          <w:tcPr>
            <w:tcW w:w="7229" w:type="dxa"/>
            <w:vAlign w:val="center"/>
          </w:tcPr>
          <w:p w14:paraId="088239DC">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能够统计分析链路捕获的流量的趋势，包括总体流量的趋势，可区分网络的上行流量和下行流量；数据包趋势，可区分网络的上行数据包和下行数据包；TCP参数趋势，包括TCP同步数据包个数、TCP同步确认数据包个数、TCP同步重置数据包个数、利用率趋势，可区分网络的上行利用率和下行利用率。流量趋势支持秒级时间粒度展现，流量指标支持秒级分析精度【</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w:t>
            </w:r>
          </w:p>
        </w:tc>
      </w:tr>
      <w:tr w14:paraId="53E4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13" w:type="dxa"/>
            <w:vMerge w:val="restart"/>
            <w:vAlign w:val="center"/>
          </w:tcPr>
          <w:p w14:paraId="2279DC5D">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网络层采集</w:t>
            </w:r>
          </w:p>
          <w:p w14:paraId="0BB8322D">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分析</w:t>
            </w:r>
          </w:p>
        </w:tc>
        <w:tc>
          <w:tcPr>
            <w:tcW w:w="7229" w:type="dxa"/>
            <w:vAlign w:val="center"/>
          </w:tcPr>
          <w:p w14:paraId="3469A4D1">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能够统计分析所有IP主机的通讯流量信息，包括接收发送流量，接收发送数据包，比特率，数据包率，tcp连接请求数量，tcp同步响应数量，tcp同步重置数量，数据包的发收比，tcp连接请求无响应次数，tcp连接请求被重置次数等流量参数，并能够根据参数的大小进行排序。支持二次挖掘指定IP的应用成分、IP会话、TCP/UDP会话等关联统计分析表。【</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w:t>
            </w:r>
          </w:p>
        </w:tc>
      </w:tr>
      <w:tr w14:paraId="3019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13" w:type="dxa"/>
            <w:vMerge w:val="continue"/>
            <w:vAlign w:val="center"/>
          </w:tcPr>
          <w:p w14:paraId="58904A03">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p>
        </w:tc>
        <w:tc>
          <w:tcPr>
            <w:tcW w:w="7229" w:type="dxa"/>
            <w:vAlign w:val="center"/>
          </w:tcPr>
          <w:p w14:paraId="32743B71">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能够统计分析所有IP主机间的通讯流量信息，包括接收发送流量，接收发送数据包，应用通讯信息，网络传输质量指标，包括双向的tcp重传，tcp分段丢失，三次握手时延，tcp ack时延等。支持二次挖掘指定IP会话的TCP/UDP会话的关联统计分析表。【</w:t>
            </w:r>
            <w:r>
              <w:rPr>
                <w:rFonts w:hint="eastAsia" w:ascii="宋体" w:hAnsi="宋体" w:cs="宋体"/>
                <w:bCs/>
                <w:color w:val="000000" w:themeColor="text1"/>
                <w:sz w:val="24"/>
                <w:szCs w:val="24"/>
                <w:lang w:val="en-US" w:eastAsia="zh-CN"/>
                <w14:textFill>
                  <w14:solidFill>
                    <w14:schemeClr w14:val="tx1"/>
                  </w14:solidFill>
                </w14:textFill>
              </w:rPr>
              <w:t>投标时</w:t>
            </w:r>
            <w:r>
              <w:rPr>
                <w:rFonts w:hint="eastAsia" w:ascii="宋体" w:hAnsi="宋体" w:eastAsia="宋体" w:cs="宋体"/>
                <w:bCs/>
                <w:color w:val="000000" w:themeColor="text1"/>
                <w:sz w:val="24"/>
                <w:szCs w:val="24"/>
                <w14:textFill>
                  <w14:solidFill>
                    <w14:schemeClr w14:val="tx1"/>
                  </w14:solidFill>
                </w14:textFill>
              </w:rPr>
              <w:t>提供截图证明】</w:t>
            </w:r>
          </w:p>
        </w:tc>
      </w:tr>
      <w:tr w14:paraId="796D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13" w:type="dxa"/>
            <w:vAlign w:val="center"/>
          </w:tcPr>
          <w:p w14:paraId="62C83E15">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数据回溯</w:t>
            </w:r>
          </w:p>
        </w:tc>
        <w:tc>
          <w:tcPr>
            <w:tcW w:w="7229" w:type="dxa"/>
            <w:vAlign w:val="center"/>
          </w:tcPr>
          <w:p w14:paraId="37029727">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支持数据回溯功能，并可以指定回溯的时间，比如近1分钟，5分钟、近30分钟、近1小时、3小时、近1天、近7天等，可以指定回溯数据的具体时刻</w:t>
            </w:r>
          </w:p>
        </w:tc>
      </w:tr>
      <w:tr w14:paraId="5AA0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13" w:type="dxa"/>
            <w:vAlign w:val="center"/>
          </w:tcPr>
          <w:p w14:paraId="78CA8E49">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IPV6协议支持</w:t>
            </w:r>
          </w:p>
        </w:tc>
        <w:tc>
          <w:tcPr>
            <w:tcW w:w="7229" w:type="dxa"/>
            <w:vAlign w:val="center"/>
          </w:tcPr>
          <w:p w14:paraId="545FF8B2">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支持基于IPv6地址、网段在物理接口下创建分析链路，在流量镜像模式为both的情况下，支持按照数据中心IPv6地址网段区分统计流量的流入、流出</w:t>
            </w:r>
          </w:p>
          <w:p w14:paraId="00D49CC9">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支持基于IPv6地址规则的流量过滤，被过滤流量不存储也不分析，或被过滤流量不存储但是需要进行统计分析</w:t>
            </w:r>
          </w:p>
          <w:p w14:paraId="778F6F82">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支持基于IPv6的网段、地址别名、应用监控的配置定义，能够根据预定义的规则进行统计分析</w:t>
            </w:r>
          </w:p>
          <w:p w14:paraId="54B5B9AD">
            <w:pPr>
              <w:widowControl/>
              <w:ind w:firstLine="0"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支持基于IPv6地址定义应用警报、交易性能警报、VoIP警报、流量警报、邮件敏感字警报、可疑域名警报、数据流特征值警报、基线警报、异常访问警报</w:t>
            </w:r>
          </w:p>
        </w:tc>
      </w:tr>
    </w:tbl>
    <w:p w14:paraId="382BDEB2"/>
    <w:p w14:paraId="6E71BE02">
      <w:pPr>
        <w:tabs>
          <w:tab w:val="left" w:pos="0"/>
        </w:tabs>
        <w:spacing w:line="360" w:lineRule="auto"/>
        <w:ind w:firstLine="480"/>
        <w:rPr>
          <w:rFonts w:ascii="宋体" w:hAnsi="宋体" w:cs="宋体"/>
          <w:color w:val="auto"/>
          <w:sz w:val="24"/>
          <w:highlight w:val="none"/>
        </w:rPr>
      </w:pPr>
    </w:p>
    <w:p w14:paraId="0E66BAD3">
      <w:pPr>
        <w:widowControl/>
        <w:ind w:firstLine="0" w:firstLineChars="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三、商务要求</w:t>
      </w:r>
    </w:p>
    <w:p w14:paraId="4DC92549">
      <w:pPr>
        <w:spacing w:line="360" w:lineRule="auto"/>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1、服务期：2年</w:t>
      </w:r>
    </w:p>
    <w:p w14:paraId="2A847849">
      <w:pPr>
        <w:pStyle w:val="16"/>
        <w:spacing w:line="360" w:lineRule="auto"/>
        <w:rPr>
          <w:rFonts w:hint="default" w:hAnsi="宋体" w:cs="宋体"/>
          <w:snapToGrid w:val="0"/>
          <w:color w:val="auto"/>
          <w:kern w:val="0"/>
          <w:sz w:val="24"/>
          <w:highlight w:val="none"/>
          <w:lang w:val="en-US" w:eastAsia="zh-CN"/>
        </w:rPr>
      </w:pPr>
      <w:r>
        <w:rPr>
          <w:rFonts w:hint="eastAsia" w:hAnsi="宋体" w:cs="宋体"/>
          <w:snapToGrid w:val="0"/>
          <w:color w:val="auto"/>
          <w:kern w:val="0"/>
          <w:sz w:val="24"/>
          <w:highlight w:val="none"/>
          <w:lang w:val="en-US" w:eastAsia="zh-CN"/>
        </w:rPr>
        <w:t>2、服务地点：浙江康复医院两院区</w:t>
      </w:r>
    </w:p>
    <w:p w14:paraId="2D4217EA">
      <w:pPr>
        <w:pStyle w:val="16"/>
        <w:spacing w:line="360" w:lineRule="auto"/>
        <w:rPr>
          <w:rFonts w:hint="default" w:hAnsi="宋体" w:cs="宋体"/>
          <w:snapToGrid w:val="0"/>
          <w:color w:val="auto"/>
          <w:kern w:val="0"/>
          <w:sz w:val="24"/>
          <w:highlight w:val="none"/>
          <w:lang w:val="en-US" w:eastAsia="zh-CN"/>
        </w:rPr>
      </w:pPr>
      <w:r>
        <w:rPr>
          <w:rFonts w:hint="eastAsia" w:hAnsi="宋体" w:cs="宋体"/>
          <w:snapToGrid w:val="0"/>
          <w:color w:val="auto"/>
          <w:kern w:val="0"/>
          <w:sz w:val="24"/>
          <w:highlight w:val="none"/>
          <w:lang w:val="en-US" w:eastAsia="zh-CN"/>
        </w:rPr>
        <w:t>3、付款方式：合同签订达到支付条件后7个工作日内支付合同价格的50%，2025年12月10日前达到支付条件支付合同价格的45%，两年服务期满且项目验收合格后达到支付条件的7个工作日内支付合同价格的5%。</w:t>
      </w:r>
    </w:p>
    <w:p w14:paraId="249E0D97">
      <w:pPr>
        <w:pStyle w:val="16"/>
        <w:spacing w:line="360" w:lineRule="auto"/>
        <w:rPr>
          <w:rFonts w:hint="default" w:hAnsi="宋体" w:cs="宋体"/>
          <w:snapToGrid w:val="0"/>
          <w:color w:val="auto"/>
          <w:kern w:val="0"/>
          <w:sz w:val="24"/>
          <w:highlight w:val="none"/>
          <w:lang w:val="en-US" w:eastAsia="zh-CN"/>
        </w:rPr>
      </w:pPr>
      <w:r>
        <w:rPr>
          <w:rFonts w:hint="eastAsia" w:hAnsi="宋体" w:cs="宋体"/>
          <w:snapToGrid w:val="0"/>
          <w:color w:val="auto"/>
          <w:kern w:val="0"/>
          <w:sz w:val="24"/>
          <w:highlight w:val="none"/>
          <w:lang w:val="en-US" w:eastAsia="zh-CN"/>
        </w:rPr>
        <w:t>4、履约保证金：无</w:t>
      </w:r>
    </w:p>
    <w:p w14:paraId="225183CC">
      <w:pPr>
        <w:ind w:firstLine="480"/>
        <w:rPr>
          <w:rFonts w:hint="eastAsia" w:hAnsi="宋体" w:cs="宋体"/>
          <w:snapToGrid w:val="0"/>
          <w:color w:val="auto"/>
          <w:kern w:val="0"/>
          <w:sz w:val="24"/>
          <w:highlight w:val="none"/>
          <w:lang w:val="en-US" w:eastAsia="zh-CN"/>
        </w:rPr>
      </w:pPr>
      <w:r>
        <w:rPr>
          <w:rFonts w:hint="eastAsia" w:hAnsi="宋体" w:cs="宋体"/>
          <w:snapToGrid w:val="0"/>
          <w:color w:val="auto"/>
          <w:kern w:val="0"/>
          <w:sz w:val="24"/>
          <w:highlight w:val="none"/>
          <w:lang w:val="en-US" w:eastAsia="zh-CN"/>
        </w:rPr>
        <w:t>5、验收要求：</w:t>
      </w:r>
    </w:p>
    <w:p w14:paraId="6251AC5D">
      <w:pPr>
        <w:ind w:firstLine="480"/>
        <w:rPr>
          <w:rFonts w:hint="eastAsia" w:ascii="宋体" w:hAnsi="宋体" w:cs="宋体"/>
          <w:color w:val="auto"/>
          <w:szCs w:val="32"/>
          <w:highlight w:val="none"/>
        </w:rPr>
      </w:pPr>
      <w:r>
        <w:rPr>
          <w:rFonts w:hint="eastAsia" w:ascii="宋体" w:hAnsi="宋体" w:cs="宋体"/>
          <w:color w:val="auto"/>
          <w:szCs w:val="32"/>
          <w:highlight w:val="none"/>
        </w:rPr>
        <w:t>（1）合同乙方应保质保量按时按约完成项目合同规定的各项工作，并于完成时按要求递交相关成果及佐证材料等。</w:t>
      </w:r>
    </w:p>
    <w:p w14:paraId="76F34681">
      <w:pPr>
        <w:ind w:firstLine="480"/>
        <w:rPr>
          <w:rFonts w:hint="eastAsia" w:ascii="宋体" w:hAnsi="宋体" w:cs="宋体"/>
          <w:color w:val="auto"/>
          <w:szCs w:val="32"/>
          <w:highlight w:val="none"/>
        </w:rPr>
      </w:pPr>
      <w:r>
        <w:rPr>
          <w:rFonts w:hint="eastAsia" w:ascii="宋体" w:hAnsi="宋体" w:cs="宋体"/>
          <w:color w:val="auto"/>
          <w:szCs w:val="32"/>
          <w:highlight w:val="none"/>
        </w:rPr>
        <w:t>（2）完成项目内容后，合同乙方应及时向合同甲方发出书面验收申请，合同甲方在收到合同乙方书面验收申请后，组织实施验收和履约评价。</w:t>
      </w:r>
    </w:p>
    <w:p w14:paraId="317E9D07">
      <w:pPr>
        <w:ind w:firstLine="480"/>
        <w:rPr>
          <w:rFonts w:hint="eastAsia" w:ascii="宋体" w:hAnsi="宋体" w:cs="宋体"/>
          <w:color w:val="auto"/>
          <w:szCs w:val="32"/>
          <w:highlight w:val="none"/>
        </w:rPr>
      </w:pPr>
      <w:r>
        <w:rPr>
          <w:rFonts w:hint="eastAsia" w:ascii="宋体" w:hAnsi="宋体" w:cs="宋体"/>
          <w:color w:val="auto"/>
          <w:szCs w:val="32"/>
          <w:highlight w:val="none"/>
        </w:rPr>
        <w:t>（3）合同甲方将对合同乙方的项目质量进行客观评估。验收小组完成验收后出具验收（评审）意见。</w:t>
      </w:r>
    </w:p>
    <w:p w14:paraId="16A63A42">
      <w:pPr>
        <w:ind w:firstLine="480"/>
        <w:rPr>
          <w:rFonts w:hint="eastAsia" w:ascii="宋体" w:hAnsi="宋体" w:cs="宋体"/>
          <w:color w:val="auto"/>
          <w:szCs w:val="32"/>
          <w:highlight w:val="none"/>
        </w:rPr>
      </w:pPr>
      <w:r>
        <w:rPr>
          <w:rFonts w:hint="eastAsia" w:ascii="宋体" w:hAnsi="宋体" w:cs="宋体"/>
          <w:color w:val="auto"/>
          <w:szCs w:val="32"/>
          <w:highlight w:val="none"/>
        </w:rPr>
        <w:t>（4）对验收通过的项目，合同甲方将按照合同如期支付合同款。</w:t>
      </w:r>
    </w:p>
    <w:p w14:paraId="66FA0905">
      <w:pPr>
        <w:ind w:firstLine="480"/>
        <w:rPr>
          <w:rFonts w:hint="eastAsia" w:ascii="宋体" w:hAnsi="宋体" w:eastAsia="宋体" w:cs="宋体"/>
          <w:snapToGrid/>
          <w:color w:val="auto"/>
          <w:kern w:val="2"/>
          <w:sz w:val="24"/>
          <w:szCs w:val="32"/>
          <w:highlight w:val="none"/>
          <w:lang w:val="en-US" w:eastAsia="zh-CN"/>
        </w:rPr>
      </w:pPr>
      <w:r>
        <w:rPr>
          <w:rFonts w:hint="eastAsia" w:ascii="宋体" w:hAnsi="宋体" w:eastAsia="宋体" w:cs="宋体"/>
          <w:color w:val="auto"/>
          <w:szCs w:val="32"/>
          <w:highlight w:val="none"/>
        </w:rPr>
        <w:t>（5）对验收未通过的项目，将按合同约定要求供应商限期整改。对无法整改或整改后仍未达到合同要求的项目，将按验收不通过处理。</w:t>
      </w:r>
    </w:p>
    <w:p w14:paraId="089FFD8F">
      <w:pPr>
        <w:pStyle w:val="16"/>
        <w:rPr>
          <w:rFonts w:hint="default" w:hAnsi="宋体" w:cs="宋体"/>
          <w:snapToGrid w:val="0"/>
          <w:color w:val="auto"/>
          <w:kern w:val="0"/>
          <w:sz w:val="24"/>
          <w:highlight w:val="yellow"/>
          <w:lang w:val="en-US" w:eastAsia="zh-CN"/>
        </w:rPr>
      </w:pPr>
      <w:r>
        <w:rPr>
          <w:rFonts w:hint="eastAsia" w:hAnsi="宋体" w:cs="宋体"/>
          <w:snapToGrid w:val="0"/>
          <w:color w:val="auto"/>
          <w:kern w:val="0"/>
          <w:sz w:val="24"/>
          <w:highlight w:val="none"/>
          <w:lang w:val="en-US" w:eastAsia="zh-CN"/>
        </w:rPr>
        <w:t>6、项目过程中，若发现中标单位虚假应标的，根据政府采购法等相关规定处理，承担相应法律责任并赔偿采购人相关损失。</w:t>
      </w:r>
    </w:p>
    <w:p w14:paraId="668F42D2">
      <w:pPr>
        <w:pStyle w:val="3"/>
        <w:bidi w:val="0"/>
        <w:rPr>
          <w:rFonts w:ascii="宋体" w:hAnsi="宋体" w:cs="宋体"/>
          <w:b/>
          <w:sz w:val="36"/>
          <w:szCs w:val="36"/>
        </w:rPr>
      </w:pPr>
      <w:r>
        <w:rPr>
          <w:rFonts w:hint="eastAsia" w:ascii="宋体" w:hAnsi="宋体" w:cs="宋体"/>
          <w:b/>
          <w:color w:val="auto"/>
          <w:sz w:val="24"/>
          <w:highlight w:val="none"/>
        </w:rPr>
        <w:br w:type="page"/>
      </w:r>
      <w:bookmarkStart w:id="56" w:name="_Toc14960"/>
      <w:bookmarkStart w:id="57" w:name="_Toc14870"/>
      <w:bookmarkStart w:id="58" w:name="_Toc13039"/>
      <w:r>
        <w:rPr>
          <w:rFonts w:hint="eastAsia" w:ascii="宋体" w:hAnsi="宋体" w:cs="宋体"/>
          <w:b/>
          <w:sz w:val="36"/>
          <w:szCs w:val="36"/>
        </w:rPr>
        <w:t xml:space="preserve">第四部分 </w:t>
      </w:r>
      <w:bookmarkStart w:id="59" w:name="_Toc184314417"/>
      <w:bookmarkEnd w:id="59"/>
      <w:bookmarkStart w:id="60" w:name="_Toc184313255"/>
      <w:bookmarkEnd w:id="60"/>
      <w:bookmarkStart w:id="61" w:name="_Toc184313265"/>
      <w:bookmarkEnd w:id="61"/>
      <w:bookmarkStart w:id="62" w:name="_Toc184312137"/>
      <w:bookmarkEnd w:id="62"/>
      <w:bookmarkStart w:id="63" w:name="_Toc184313251"/>
      <w:bookmarkEnd w:id="63"/>
      <w:bookmarkStart w:id="64" w:name="_Toc184308065"/>
      <w:bookmarkEnd w:id="64"/>
      <w:bookmarkStart w:id="65" w:name="_Toc184310273"/>
      <w:bookmarkEnd w:id="65"/>
      <w:bookmarkStart w:id="66" w:name="_Toc184312105"/>
      <w:bookmarkEnd w:id="66"/>
      <w:bookmarkStart w:id="67" w:name="_Toc184313303"/>
      <w:bookmarkEnd w:id="67"/>
      <w:bookmarkStart w:id="68" w:name="_Toc184308106"/>
      <w:bookmarkEnd w:id="68"/>
      <w:bookmarkStart w:id="69" w:name="_Toc184310337"/>
      <w:bookmarkEnd w:id="69"/>
      <w:bookmarkStart w:id="70" w:name="_Toc184313270"/>
      <w:bookmarkEnd w:id="70"/>
      <w:bookmarkStart w:id="71" w:name="_Toc184313250"/>
      <w:bookmarkEnd w:id="71"/>
      <w:bookmarkStart w:id="72" w:name="_Toc184312100"/>
      <w:bookmarkEnd w:id="72"/>
      <w:bookmarkStart w:id="73" w:name="_Toc184313279"/>
      <w:bookmarkEnd w:id="73"/>
      <w:bookmarkStart w:id="74" w:name="_Toc184313268"/>
      <w:bookmarkEnd w:id="74"/>
      <w:bookmarkStart w:id="75" w:name="_Toc184312104"/>
      <w:bookmarkEnd w:id="75"/>
      <w:bookmarkStart w:id="76" w:name="_Toc184308071"/>
      <w:bookmarkEnd w:id="76"/>
      <w:bookmarkStart w:id="77" w:name="_Toc184313284"/>
      <w:bookmarkEnd w:id="77"/>
      <w:bookmarkStart w:id="78" w:name="_Toc184312069"/>
      <w:bookmarkEnd w:id="78"/>
      <w:bookmarkStart w:id="79" w:name="_Toc184312116"/>
      <w:bookmarkEnd w:id="79"/>
      <w:bookmarkStart w:id="80" w:name="_Toc184312130"/>
      <w:bookmarkEnd w:id="80"/>
      <w:bookmarkStart w:id="81" w:name="_Toc184312072"/>
      <w:bookmarkEnd w:id="81"/>
      <w:bookmarkStart w:id="82" w:name="_Toc184314444"/>
      <w:bookmarkEnd w:id="82"/>
      <w:bookmarkStart w:id="83" w:name="_Toc184310313"/>
      <w:bookmarkEnd w:id="83"/>
      <w:bookmarkStart w:id="84" w:name="_Toc184310320"/>
      <w:bookmarkEnd w:id="84"/>
      <w:bookmarkStart w:id="85" w:name="_Toc184310310"/>
      <w:bookmarkEnd w:id="85"/>
      <w:bookmarkStart w:id="86" w:name="_Toc184310305"/>
      <w:bookmarkEnd w:id="86"/>
      <w:bookmarkStart w:id="87" w:name="_Toc184312079"/>
      <w:bookmarkEnd w:id="87"/>
      <w:bookmarkStart w:id="88" w:name="_Toc184313258"/>
      <w:bookmarkEnd w:id="88"/>
      <w:bookmarkStart w:id="89" w:name="_Toc184313300"/>
      <w:bookmarkEnd w:id="89"/>
      <w:bookmarkStart w:id="90" w:name="_Toc184308099"/>
      <w:bookmarkEnd w:id="90"/>
      <w:bookmarkStart w:id="91" w:name="_Toc184314476"/>
      <w:bookmarkEnd w:id="91"/>
      <w:bookmarkStart w:id="92" w:name="_Toc184312094"/>
      <w:bookmarkEnd w:id="92"/>
      <w:bookmarkStart w:id="93" w:name="_Toc184313238"/>
      <w:bookmarkEnd w:id="93"/>
      <w:bookmarkStart w:id="94" w:name="_Toc184308052"/>
      <w:bookmarkEnd w:id="94"/>
      <w:bookmarkStart w:id="95" w:name="_Toc184310330"/>
      <w:bookmarkEnd w:id="95"/>
      <w:bookmarkStart w:id="96" w:name="_Toc184308103"/>
      <w:bookmarkEnd w:id="96"/>
      <w:bookmarkStart w:id="97" w:name="_Toc184310343"/>
      <w:bookmarkEnd w:id="97"/>
      <w:bookmarkStart w:id="98" w:name="_Toc184308055"/>
      <w:bookmarkEnd w:id="98"/>
      <w:bookmarkStart w:id="99" w:name="_Toc184312117"/>
      <w:bookmarkEnd w:id="99"/>
      <w:bookmarkStart w:id="100" w:name="_Toc184308040"/>
      <w:bookmarkEnd w:id="100"/>
      <w:bookmarkStart w:id="101" w:name="_Toc184313275"/>
      <w:bookmarkEnd w:id="101"/>
      <w:bookmarkStart w:id="102" w:name="_Toc184308067"/>
      <w:bookmarkEnd w:id="102"/>
      <w:bookmarkStart w:id="103" w:name="_Toc184312103"/>
      <w:bookmarkEnd w:id="103"/>
      <w:bookmarkStart w:id="104" w:name="_Toc184314439"/>
      <w:bookmarkEnd w:id="104"/>
      <w:bookmarkStart w:id="105" w:name="_Toc184312119"/>
      <w:bookmarkEnd w:id="105"/>
      <w:bookmarkStart w:id="106" w:name="_Toc184312129"/>
      <w:bookmarkEnd w:id="106"/>
      <w:bookmarkStart w:id="107" w:name="_Toc184313254"/>
      <w:bookmarkEnd w:id="107"/>
      <w:bookmarkStart w:id="108" w:name="_Toc184314472"/>
      <w:bookmarkEnd w:id="108"/>
      <w:bookmarkStart w:id="109" w:name="_Toc184313308"/>
      <w:bookmarkEnd w:id="109"/>
      <w:bookmarkStart w:id="110" w:name="_Toc184308037"/>
      <w:bookmarkEnd w:id="110"/>
      <w:bookmarkStart w:id="111" w:name="_Toc184312127"/>
      <w:bookmarkEnd w:id="111"/>
      <w:bookmarkStart w:id="112" w:name="_Toc184310290"/>
      <w:bookmarkEnd w:id="112"/>
      <w:bookmarkStart w:id="113" w:name="_Toc184310276"/>
      <w:bookmarkEnd w:id="113"/>
      <w:bookmarkStart w:id="114" w:name="_Toc184308042"/>
      <w:bookmarkEnd w:id="114"/>
      <w:bookmarkStart w:id="115" w:name="_Toc184308077"/>
      <w:bookmarkEnd w:id="115"/>
      <w:bookmarkStart w:id="116" w:name="_Toc184308100"/>
      <w:bookmarkEnd w:id="116"/>
      <w:bookmarkStart w:id="117" w:name="_Toc184310315"/>
      <w:bookmarkEnd w:id="117"/>
      <w:bookmarkStart w:id="118" w:name="_Toc184314418"/>
      <w:bookmarkEnd w:id="118"/>
      <w:bookmarkStart w:id="119" w:name="_Toc184312114"/>
      <w:bookmarkEnd w:id="119"/>
      <w:bookmarkStart w:id="120" w:name="_Toc184308085"/>
      <w:bookmarkEnd w:id="120"/>
      <w:bookmarkStart w:id="121" w:name="_Toc184308051"/>
      <w:bookmarkEnd w:id="121"/>
      <w:bookmarkStart w:id="122" w:name="_Toc184313302"/>
      <w:bookmarkEnd w:id="122"/>
      <w:bookmarkStart w:id="123" w:name="_Toc184312075"/>
      <w:bookmarkEnd w:id="123"/>
      <w:bookmarkStart w:id="124" w:name="_Toc184312138"/>
      <w:bookmarkEnd w:id="124"/>
      <w:bookmarkStart w:id="125" w:name="_Toc184310294"/>
      <w:bookmarkEnd w:id="125"/>
      <w:bookmarkStart w:id="126" w:name="_Toc184310284"/>
      <w:bookmarkEnd w:id="126"/>
      <w:bookmarkStart w:id="127" w:name="_Toc184310280"/>
      <w:bookmarkEnd w:id="127"/>
      <w:bookmarkStart w:id="128" w:name="_Toc184310323"/>
      <w:bookmarkEnd w:id="128"/>
      <w:bookmarkStart w:id="129" w:name="_Toc184314451"/>
      <w:bookmarkEnd w:id="129"/>
      <w:bookmarkStart w:id="130" w:name="_Toc184314458"/>
      <w:bookmarkEnd w:id="130"/>
      <w:bookmarkStart w:id="131" w:name="_Toc184312099"/>
      <w:bookmarkEnd w:id="131"/>
      <w:bookmarkStart w:id="132" w:name="_Toc184310289"/>
      <w:bookmarkEnd w:id="132"/>
      <w:bookmarkStart w:id="133" w:name="_Toc184313298"/>
      <w:bookmarkEnd w:id="133"/>
      <w:bookmarkStart w:id="134" w:name="_Toc184313247"/>
      <w:bookmarkEnd w:id="134"/>
      <w:bookmarkStart w:id="135" w:name="_Toc184312086"/>
      <w:bookmarkEnd w:id="135"/>
      <w:bookmarkStart w:id="136" w:name="_Toc184308101"/>
      <w:bookmarkEnd w:id="136"/>
      <w:bookmarkStart w:id="137" w:name="_Toc184308039"/>
      <w:bookmarkEnd w:id="137"/>
      <w:bookmarkStart w:id="138" w:name="_Toc184314415"/>
      <w:bookmarkEnd w:id="138"/>
      <w:bookmarkStart w:id="139" w:name="_Toc184312120"/>
      <w:bookmarkEnd w:id="139"/>
      <w:bookmarkStart w:id="140" w:name="_Toc184313305"/>
      <w:bookmarkEnd w:id="140"/>
      <w:bookmarkStart w:id="141" w:name="_Toc184314468"/>
      <w:bookmarkEnd w:id="141"/>
      <w:bookmarkStart w:id="142" w:name="_Toc184310307"/>
      <w:bookmarkEnd w:id="142"/>
      <w:bookmarkStart w:id="143" w:name="_Toc184310301"/>
      <w:bookmarkEnd w:id="143"/>
      <w:bookmarkStart w:id="144" w:name="_Toc184314453"/>
      <w:bookmarkEnd w:id="144"/>
      <w:bookmarkStart w:id="145" w:name="_Toc184310333"/>
      <w:bookmarkEnd w:id="145"/>
      <w:bookmarkStart w:id="146" w:name="_Toc184310272"/>
      <w:bookmarkEnd w:id="146"/>
      <w:bookmarkStart w:id="147" w:name="_Toc184312073"/>
      <w:bookmarkEnd w:id="147"/>
      <w:bookmarkStart w:id="148" w:name="_Toc184308105"/>
      <w:bookmarkEnd w:id="148"/>
      <w:bookmarkStart w:id="149" w:name="_Toc184314431"/>
      <w:bookmarkEnd w:id="149"/>
      <w:bookmarkStart w:id="150" w:name="_Toc184308091"/>
      <w:bookmarkEnd w:id="150"/>
      <w:bookmarkStart w:id="151" w:name="_Toc184310275"/>
      <w:bookmarkEnd w:id="151"/>
      <w:bookmarkStart w:id="152" w:name="_Toc184314471"/>
      <w:bookmarkEnd w:id="152"/>
      <w:bookmarkStart w:id="153" w:name="_Toc184310336"/>
      <w:bookmarkEnd w:id="153"/>
      <w:bookmarkStart w:id="154" w:name="_Toc184310339"/>
      <w:bookmarkEnd w:id="154"/>
      <w:bookmarkStart w:id="155" w:name="_Toc184313259"/>
      <w:bookmarkEnd w:id="155"/>
      <w:bookmarkStart w:id="156" w:name="_Toc184310334"/>
      <w:bookmarkEnd w:id="156"/>
      <w:bookmarkStart w:id="157" w:name="_Toc184308102"/>
      <w:bookmarkEnd w:id="157"/>
      <w:bookmarkStart w:id="158" w:name="_Toc184314452"/>
      <w:bookmarkEnd w:id="158"/>
      <w:bookmarkStart w:id="159" w:name="_Toc184308097"/>
      <w:bookmarkEnd w:id="159"/>
      <w:bookmarkStart w:id="160" w:name="_Toc184312101"/>
      <w:bookmarkEnd w:id="160"/>
      <w:bookmarkStart w:id="161" w:name="_Toc184308050"/>
      <w:bookmarkEnd w:id="161"/>
      <w:bookmarkStart w:id="162" w:name="_Toc184313256"/>
      <w:bookmarkEnd w:id="162"/>
      <w:bookmarkStart w:id="163" w:name="_Toc184312136"/>
      <w:bookmarkEnd w:id="163"/>
      <w:bookmarkStart w:id="164" w:name="_Toc184308107"/>
      <w:bookmarkEnd w:id="164"/>
      <w:bookmarkStart w:id="165" w:name="_Toc184314478"/>
      <w:bookmarkEnd w:id="165"/>
      <w:bookmarkStart w:id="166" w:name="_Toc184314465"/>
      <w:bookmarkEnd w:id="166"/>
      <w:bookmarkStart w:id="167" w:name="_Toc184313296"/>
      <w:bookmarkEnd w:id="167"/>
      <w:bookmarkStart w:id="168" w:name="_Toc184312098"/>
      <w:bookmarkEnd w:id="168"/>
      <w:bookmarkStart w:id="169" w:name="_Toc184310316"/>
      <w:bookmarkEnd w:id="169"/>
      <w:bookmarkStart w:id="170" w:name="_Toc184313274"/>
      <w:bookmarkEnd w:id="170"/>
      <w:bookmarkStart w:id="171" w:name="_Toc184308092"/>
      <w:bookmarkEnd w:id="171"/>
      <w:bookmarkStart w:id="172" w:name="_Toc184312087"/>
      <w:bookmarkEnd w:id="172"/>
      <w:bookmarkStart w:id="173" w:name="_Toc184312067"/>
      <w:bookmarkEnd w:id="173"/>
      <w:bookmarkStart w:id="174" w:name="_Toc184312068"/>
      <w:bookmarkEnd w:id="174"/>
      <w:bookmarkStart w:id="175" w:name="_Toc184312112"/>
      <w:bookmarkEnd w:id="175"/>
      <w:bookmarkStart w:id="176" w:name="_Toc184310340"/>
      <w:bookmarkEnd w:id="176"/>
      <w:bookmarkStart w:id="177" w:name="_Toc184313240"/>
      <w:bookmarkEnd w:id="177"/>
      <w:bookmarkStart w:id="178" w:name="_Toc184308108"/>
      <w:bookmarkEnd w:id="178"/>
      <w:bookmarkStart w:id="179" w:name="_Toc184313282"/>
      <w:bookmarkEnd w:id="179"/>
      <w:bookmarkStart w:id="180" w:name="_Toc184314443"/>
      <w:bookmarkEnd w:id="180"/>
      <w:bookmarkStart w:id="181" w:name="_Toc184310318"/>
      <w:bookmarkEnd w:id="181"/>
      <w:bookmarkStart w:id="182" w:name="_Toc184313260"/>
      <w:bookmarkEnd w:id="182"/>
      <w:bookmarkStart w:id="183" w:name="_Toc184313288"/>
      <w:bookmarkEnd w:id="183"/>
      <w:bookmarkStart w:id="184" w:name="_Toc184310344"/>
      <w:bookmarkEnd w:id="184"/>
      <w:bookmarkStart w:id="185" w:name="_Toc184308061"/>
      <w:bookmarkEnd w:id="185"/>
      <w:bookmarkStart w:id="186" w:name="_Toc184308069"/>
      <w:bookmarkEnd w:id="186"/>
      <w:bookmarkStart w:id="187" w:name="_Toc184313246"/>
      <w:bookmarkEnd w:id="187"/>
      <w:bookmarkStart w:id="188" w:name="_Toc184312133"/>
      <w:bookmarkEnd w:id="188"/>
      <w:bookmarkStart w:id="189" w:name="_Toc184308058"/>
      <w:bookmarkEnd w:id="189"/>
      <w:bookmarkStart w:id="190" w:name="_Toc184313292"/>
      <w:bookmarkEnd w:id="190"/>
      <w:bookmarkStart w:id="191" w:name="_Toc184314438"/>
      <w:bookmarkEnd w:id="191"/>
      <w:bookmarkStart w:id="192" w:name="_Toc184310321"/>
      <w:bookmarkEnd w:id="192"/>
      <w:bookmarkStart w:id="193" w:name="_Toc184312134"/>
      <w:bookmarkEnd w:id="193"/>
      <w:bookmarkStart w:id="194" w:name="_Toc184308090"/>
      <w:bookmarkEnd w:id="194"/>
      <w:bookmarkStart w:id="195" w:name="_Toc184308082"/>
      <w:bookmarkEnd w:id="195"/>
      <w:bookmarkStart w:id="196" w:name="_Toc184308093"/>
      <w:bookmarkEnd w:id="196"/>
      <w:bookmarkStart w:id="197" w:name="_Toc184313272"/>
      <w:bookmarkEnd w:id="197"/>
      <w:bookmarkStart w:id="198" w:name="_Toc184312076"/>
      <w:bookmarkEnd w:id="198"/>
      <w:bookmarkStart w:id="199" w:name="_Toc184312121"/>
      <w:bookmarkEnd w:id="199"/>
      <w:bookmarkStart w:id="200" w:name="_Toc184313307"/>
      <w:bookmarkEnd w:id="200"/>
      <w:bookmarkStart w:id="201" w:name="_Toc184308076"/>
      <w:bookmarkEnd w:id="201"/>
      <w:bookmarkStart w:id="202" w:name="_Toc184308047"/>
      <w:bookmarkEnd w:id="202"/>
      <w:bookmarkStart w:id="203" w:name="_Toc184308044"/>
      <w:bookmarkEnd w:id="203"/>
      <w:bookmarkStart w:id="204" w:name="_Toc184310293"/>
      <w:bookmarkEnd w:id="204"/>
      <w:bookmarkStart w:id="205" w:name="_Toc184313263"/>
      <w:bookmarkEnd w:id="205"/>
      <w:bookmarkStart w:id="206" w:name="_Toc184314430"/>
      <w:bookmarkEnd w:id="206"/>
      <w:bookmarkStart w:id="207" w:name="_Toc184314411"/>
      <w:bookmarkEnd w:id="207"/>
      <w:bookmarkStart w:id="208" w:name="_Toc184308088"/>
      <w:bookmarkEnd w:id="208"/>
      <w:bookmarkStart w:id="209" w:name="_Toc184313310"/>
      <w:bookmarkEnd w:id="209"/>
      <w:bookmarkStart w:id="210" w:name="_Toc184314435"/>
      <w:bookmarkEnd w:id="210"/>
      <w:bookmarkStart w:id="211" w:name="_Toc184312113"/>
      <w:bookmarkEnd w:id="211"/>
      <w:bookmarkStart w:id="212" w:name="_Toc184313309"/>
      <w:bookmarkEnd w:id="212"/>
      <w:bookmarkStart w:id="213" w:name="_Toc184308046"/>
      <w:bookmarkEnd w:id="213"/>
      <w:bookmarkStart w:id="214" w:name="_Toc184314449"/>
      <w:bookmarkEnd w:id="214"/>
      <w:bookmarkStart w:id="215" w:name="_Toc184314448"/>
      <w:bookmarkEnd w:id="215"/>
      <w:bookmarkStart w:id="216" w:name="_Toc184313257"/>
      <w:bookmarkEnd w:id="216"/>
      <w:bookmarkStart w:id="217" w:name="_Toc184310328"/>
      <w:bookmarkEnd w:id="217"/>
      <w:bookmarkStart w:id="218" w:name="_Toc184310314"/>
      <w:bookmarkEnd w:id="218"/>
      <w:bookmarkStart w:id="219" w:name="_Toc184314456"/>
      <w:bookmarkEnd w:id="219"/>
      <w:bookmarkStart w:id="220" w:name="_Toc184312092"/>
      <w:bookmarkEnd w:id="220"/>
      <w:bookmarkStart w:id="221" w:name="_Toc184310296"/>
      <w:bookmarkEnd w:id="221"/>
      <w:bookmarkStart w:id="222" w:name="_Toc184313239"/>
      <w:bookmarkEnd w:id="222"/>
      <w:bookmarkStart w:id="223" w:name="_Toc184312070"/>
      <w:bookmarkEnd w:id="223"/>
      <w:bookmarkStart w:id="224" w:name="_Toc184312080"/>
      <w:bookmarkEnd w:id="224"/>
      <w:bookmarkStart w:id="225" w:name="_Toc184308045"/>
      <w:bookmarkEnd w:id="225"/>
      <w:bookmarkStart w:id="226" w:name="_Toc184310331"/>
      <w:bookmarkEnd w:id="226"/>
      <w:bookmarkStart w:id="227" w:name="_Toc184313241"/>
      <w:bookmarkEnd w:id="227"/>
      <w:bookmarkStart w:id="228" w:name="_Toc184312095"/>
      <w:bookmarkEnd w:id="228"/>
      <w:bookmarkStart w:id="229" w:name="_Toc184313299"/>
      <w:bookmarkEnd w:id="229"/>
      <w:bookmarkStart w:id="230" w:name="_Toc184312078"/>
      <w:bookmarkEnd w:id="230"/>
      <w:bookmarkStart w:id="231" w:name="_Toc184308066"/>
      <w:bookmarkEnd w:id="231"/>
      <w:bookmarkStart w:id="232" w:name="_Toc184308057"/>
      <w:bookmarkEnd w:id="232"/>
      <w:bookmarkStart w:id="233" w:name="_Toc184308036"/>
      <w:bookmarkEnd w:id="233"/>
      <w:bookmarkStart w:id="234" w:name="_Toc184313276"/>
      <w:bookmarkEnd w:id="234"/>
      <w:bookmarkStart w:id="235" w:name="_Toc184308087"/>
      <w:bookmarkEnd w:id="235"/>
      <w:bookmarkStart w:id="236" w:name="_Toc184313287"/>
      <w:bookmarkEnd w:id="236"/>
      <w:bookmarkStart w:id="237" w:name="_Toc184310285"/>
      <w:bookmarkEnd w:id="237"/>
      <w:bookmarkStart w:id="238" w:name="_Toc184314434"/>
      <w:bookmarkEnd w:id="238"/>
      <w:bookmarkStart w:id="239" w:name="_Toc184310322"/>
      <w:bookmarkEnd w:id="239"/>
      <w:bookmarkStart w:id="240" w:name="_Toc184314410"/>
      <w:bookmarkEnd w:id="240"/>
      <w:bookmarkStart w:id="241" w:name="_Toc184308089"/>
      <w:bookmarkEnd w:id="241"/>
      <w:bookmarkStart w:id="242" w:name="_Toc184308084"/>
      <w:bookmarkEnd w:id="242"/>
      <w:bookmarkStart w:id="243" w:name="_Toc184314412"/>
      <w:bookmarkEnd w:id="243"/>
      <w:bookmarkStart w:id="244" w:name="_Toc184312132"/>
      <w:bookmarkEnd w:id="244"/>
      <w:bookmarkStart w:id="245" w:name="_Toc184308079"/>
      <w:bookmarkEnd w:id="245"/>
      <w:bookmarkStart w:id="246" w:name="_Toc184314432"/>
      <w:bookmarkEnd w:id="246"/>
      <w:bookmarkStart w:id="247" w:name="_Toc184310277"/>
      <w:bookmarkEnd w:id="247"/>
      <w:bookmarkStart w:id="248" w:name="_Toc184310286"/>
      <w:bookmarkEnd w:id="248"/>
      <w:bookmarkStart w:id="249" w:name="_Toc184308063"/>
      <w:bookmarkEnd w:id="249"/>
      <w:bookmarkStart w:id="250" w:name="_Toc184314437"/>
      <w:bookmarkEnd w:id="250"/>
      <w:bookmarkStart w:id="251" w:name="_Toc184314414"/>
      <w:bookmarkEnd w:id="251"/>
      <w:bookmarkStart w:id="252" w:name="_Toc184314475"/>
      <w:bookmarkEnd w:id="252"/>
      <w:bookmarkStart w:id="253" w:name="_Toc184308075"/>
      <w:bookmarkEnd w:id="253"/>
      <w:bookmarkStart w:id="254" w:name="_Toc184310297"/>
      <w:bookmarkEnd w:id="254"/>
      <w:bookmarkStart w:id="255" w:name="_Toc184310306"/>
      <w:bookmarkEnd w:id="255"/>
      <w:bookmarkStart w:id="256" w:name="_Toc184310288"/>
      <w:bookmarkEnd w:id="256"/>
      <w:bookmarkStart w:id="257" w:name="_Toc184310332"/>
      <w:bookmarkEnd w:id="257"/>
      <w:bookmarkStart w:id="258" w:name="_Toc184310312"/>
      <w:bookmarkEnd w:id="258"/>
      <w:bookmarkStart w:id="259" w:name="_Toc184313266"/>
      <w:bookmarkEnd w:id="259"/>
      <w:bookmarkStart w:id="260" w:name="_Toc184314429"/>
      <w:bookmarkEnd w:id="260"/>
      <w:bookmarkStart w:id="261" w:name="_Toc184314464"/>
      <w:bookmarkEnd w:id="261"/>
      <w:bookmarkStart w:id="262" w:name="_Toc184313252"/>
      <w:bookmarkEnd w:id="262"/>
      <w:bookmarkStart w:id="263" w:name="_Toc184308056"/>
      <w:bookmarkEnd w:id="263"/>
      <w:bookmarkStart w:id="264" w:name="_Toc184313294"/>
      <w:bookmarkEnd w:id="264"/>
      <w:bookmarkStart w:id="265" w:name="_Toc184310317"/>
      <w:bookmarkEnd w:id="265"/>
      <w:bookmarkStart w:id="266" w:name="_Toc184312074"/>
      <w:bookmarkEnd w:id="266"/>
      <w:bookmarkStart w:id="267" w:name="_Toc184310341"/>
      <w:bookmarkEnd w:id="267"/>
      <w:bookmarkStart w:id="268" w:name="_Toc184308095"/>
      <w:bookmarkEnd w:id="268"/>
      <w:bookmarkStart w:id="269" w:name="_Toc184312090"/>
      <w:bookmarkEnd w:id="269"/>
      <w:bookmarkStart w:id="270" w:name="_Toc184313273"/>
      <w:bookmarkEnd w:id="270"/>
      <w:bookmarkStart w:id="271" w:name="_Toc184310274"/>
      <w:bookmarkEnd w:id="271"/>
      <w:bookmarkStart w:id="272" w:name="_Toc184312096"/>
      <w:bookmarkEnd w:id="272"/>
      <w:bookmarkStart w:id="273" w:name="_Toc184314450"/>
      <w:bookmarkEnd w:id="273"/>
      <w:bookmarkStart w:id="274" w:name="_Toc184313281"/>
      <w:bookmarkEnd w:id="274"/>
      <w:bookmarkStart w:id="275" w:name="_Toc184314413"/>
      <w:bookmarkEnd w:id="275"/>
      <w:bookmarkStart w:id="276" w:name="_Toc184312118"/>
      <w:bookmarkEnd w:id="276"/>
      <w:bookmarkStart w:id="277" w:name="_Toc184314419"/>
      <w:bookmarkEnd w:id="277"/>
      <w:bookmarkStart w:id="278" w:name="_Toc184314460"/>
      <w:bookmarkEnd w:id="278"/>
      <w:bookmarkStart w:id="279" w:name="_Toc184314421"/>
      <w:bookmarkEnd w:id="279"/>
      <w:bookmarkStart w:id="280" w:name="_Toc184313243"/>
      <w:bookmarkEnd w:id="280"/>
      <w:bookmarkStart w:id="281" w:name="_Toc184313271"/>
      <w:bookmarkEnd w:id="281"/>
      <w:bookmarkStart w:id="282" w:name="_Toc184312082"/>
      <w:bookmarkEnd w:id="282"/>
      <w:bookmarkStart w:id="283" w:name="_Toc184312115"/>
      <w:bookmarkEnd w:id="283"/>
      <w:bookmarkStart w:id="284" w:name="_Toc184314416"/>
      <w:bookmarkEnd w:id="284"/>
      <w:bookmarkStart w:id="285" w:name="_Toc184310327"/>
      <w:bookmarkEnd w:id="285"/>
      <w:bookmarkStart w:id="286" w:name="_Toc184312124"/>
      <w:bookmarkEnd w:id="286"/>
      <w:bookmarkStart w:id="287" w:name="_Toc184313261"/>
      <w:bookmarkEnd w:id="287"/>
      <w:bookmarkStart w:id="288" w:name="_Toc184310329"/>
      <w:bookmarkEnd w:id="288"/>
      <w:bookmarkStart w:id="289" w:name="_Toc184314467"/>
      <w:bookmarkEnd w:id="289"/>
      <w:bookmarkStart w:id="290" w:name="_Toc184314426"/>
      <w:bookmarkEnd w:id="290"/>
      <w:bookmarkStart w:id="291" w:name="_Toc184314481"/>
      <w:bookmarkEnd w:id="291"/>
      <w:bookmarkStart w:id="292" w:name="_Toc184313249"/>
      <w:bookmarkEnd w:id="292"/>
      <w:bookmarkStart w:id="293" w:name="_Toc184313267"/>
      <w:bookmarkEnd w:id="293"/>
      <w:bookmarkStart w:id="294" w:name="_Toc184312139"/>
      <w:bookmarkEnd w:id="294"/>
      <w:bookmarkStart w:id="295" w:name="_Toc184310300"/>
      <w:bookmarkEnd w:id="295"/>
      <w:bookmarkStart w:id="296" w:name="_Toc184312088"/>
      <w:bookmarkEnd w:id="296"/>
      <w:bookmarkStart w:id="297" w:name="_Toc184308073"/>
      <w:bookmarkEnd w:id="297"/>
      <w:bookmarkStart w:id="298" w:name="_Toc184314482"/>
      <w:bookmarkEnd w:id="298"/>
      <w:bookmarkStart w:id="299" w:name="_Toc184312110"/>
      <w:bookmarkEnd w:id="299"/>
      <w:bookmarkStart w:id="300" w:name="_Toc184313248"/>
      <w:bookmarkEnd w:id="300"/>
      <w:bookmarkStart w:id="301" w:name="_Toc184308041"/>
      <w:bookmarkEnd w:id="301"/>
      <w:bookmarkStart w:id="302" w:name="_Toc184314479"/>
      <w:bookmarkEnd w:id="302"/>
      <w:bookmarkStart w:id="303" w:name="_Toc184310278"/>
      <w:bookmarkEnd w:id="303"/>
      <w:bookmarkStart w:id="304" w:name="_Toc184308053"/>
      <w:bookmarkEnd w:id="304"/>
      <w:bookmarkStart w:id="305" w:name="_Toc184310282"/>
      <w:bookmarkEnd w:id="305"/>
      <w:bookmarkStart w:id="306" w:name="_Toc184312083"/>
      <w:bookmarkEnd w:id="306"/>
      <w:bookmarkStart w:id="307" w:name="_Toc184308062"/>
      <w:bookmarkEnd w:id="307"/>
      <w:bookmarkStart w:id="308" w:name="_Toc184313283"/>
      <w:bookmarkEnd w:id="308"/>
      <w:bookmarkStart w:id="309" w:name="_Toc184314462"/>
      <w:bookmarkEnd w:id="309"/>
      <w:bookmarkStart w:id="310" w:name="_Toc184313278"/>
      <w:bookmarkEnd w:id="310"/>
      <w:bookmarkStart w:id="311" w:name="_Toc184314420"/>
      <w:bookmarkEnd w:id="311"/>
      <w:bookmarkStart w:id="312" w:name="_Toc184308038"/>
      <w:bookmarkEnd w:id="312"/>
      <w:bookmarkStart w:id="313" w:name="_Toc184310326"/>
      <w:bookmarkEnd w:id="313"/>
      <w:bookmarkStart w:id="314" w:name="_Toc184310291"/>
      <w:bookmarkEnd w:id="314"/>
      <w:bookmarkStart w:id="315" w:name="_Toc184313242"/>
      <w:bookmarkEnd w:id="315"/>
      <w:bookmarkStart w:id="316" w:name="_Toc184312107"/>
      <w:bookmarkEnd w:id="316"/>
      <w:bookmarkStart w:id="317" w:name="_Toc184314470"/>
      <w:bookmarkEnd w:id="317"/>
      <w:bookmarkStart w:id="318" w:name="_Toc184313269"/>
      <w:bookmarkEnd w:id="318"/>
      <w:bookmarkStart w:id="319" w:name="_Toc184313245"/>
      <w:bookmarkEnd w:id="319"/>
      <w:bookmarkStart w:id="320" w:name="_Toc184313264"/>
      <w:bookmarkEnd w:id="320"/>
      <w:bookmarkStart w:id="321" w:name="_Toc184314422"/>
      <w:bookmarkEnd w:id="321"/>
      <w:bookmarkStart w:id="322" w:name="_Toc184308104"/>
      <w:bookmarkEnd w:id="322"/>
      <w:bookmarkStart w:id="323" w:name="_Toc184312123"/>
      <w:bookmarkEnd w:id="323"/>
      <w:bookmarkStart w:id="324" w:name="_Toc184310319"/>
      <w:bookmarkEnd w:id="324"/>
      <w:bookmarkStart w:id="325" w:name="_Toc184310325"/>
      <w:bookmarkEnd w:id="325"/>
      <w:bookmarkStart w:id="326" w:name="_Toc184308074"/>
      <w:bookmarkEnd w:id="326"/>
      <w:bookmarkStart w:id="327" w:name="_Toc184312108"/>
      <w:bookmarkEnd w:id="327"/>
      <w:bookmarkStart w:id="328" w:name="_Toc184310311"/>
      <w:bookmarkEnd w:id="328"/>
      <w:bookmarkStart w:id="329" w:name="_Toc184312131"/>
      <w:bookmarkEnd w:id="329"/>
      <w:bookmarkStart w:id="330" w:name="_Toc184312081"/>
      <w:bookmarkEnd w:id="330"/>
      <w:bookmarkStart w:id="331" w:name="_Toc184314457"/>
      <w:bookmarkEnd w:id="331"/>
      <w:bookmarkStart w:id="332" w:name="_Toc184313244"/>
      <w:bookmarkEnd w:id="332"/>
      <w:bookmarkStart w:id="333" w:name="_Toc184313297"/>
      <w:bookmarkEnd w:id="333"/>
      <w:bookmarkStart w:id="334" w:name="_Toc184310279"/>
      <w:bookmarkEnd w:id="334"/>
      <w:bookmarkStart w:id="335" w:name="_Toc184308098"/>
      <w:bookmarkEnd w:id="335"/>
      <w:bookmarkStart w:id="336" w:name="_Toc184314442"/>
      <w:bookmarkEnd w:id="336"/>
      <w:bookmarkStart w:id="337" w:name="_Toc184314425"/>
      <w:bookmarkEnd w:id="337"/>
      <w:bookmarkStart w:id="338" w:name="_Toc184310324"/>
      <w:bookmarkEnd w:id="338"/>
      <w:bookmarkStart w:id="339" w:name="_Toc184313286"/>
      <w:bookmarkEnd w:id="339"/>
      <w:bookmarkStart w:id="340" w:name="_Toc184312071"/>
      <w:bookmarkEnd w:id="340"/>
      <w:bookmarkStart w:id="341" w:name="_Toc184312135"/>
      <w:bookmarkEnd w:id="341"/>
      <w:bookmarkStart w:id="342" w:name="_Toc184314469"/>
      <w:bookmarkEnd w:id="342"/>
      <w:bookmarkStart w:id="343" w:name="_Toc184312102"/>
      <w:bookmarkEnd w:id="343"/>
      <w:bookmarkStart w:id="344" w:name="_Toc184314424"/>
      <w:bookmarkEnd w:id="344"/>
      <w:bookmarkStart w:id="345" w:name="_Toc184308078"/>
      <w:bookmarkEnd w:id="345"/>
      <w:bookmarkStart w:id="346" w:name="_Toc184310338"/>
      <w:bookmarkEnd w:id="346"/>
      <w:bookmarkStart w:id="347" w:name="_Toc184312111"/>
      <w:bookmarkEnd w:id="347"/>
      <w:bookmarkStart w:id="348" w:name="_Toc184314423"/>
      <w:bookmarkEnd w:id="348"/>
      <w:bookmarkStart w:id="349" w:name="_Toc184308070"/>
      <w:bookmarkEnd w:id="349"/>
      <w:bookmarkStart w:id="350" w:name="_Toc184314427"/>
      <w:bookmarkEnd w:id="350"/>
      <w:bookmarkStart w:id="351" w:name="_Toc184313280"/>
      <w:bookmarkEnd w:id="351"/>
      <w:bookmarkStart w:id="352" w:name="_Toc184313285"/>
      <w:bookmarkEnd w:id="352"/>
      <w:bookmarkStart w:id="353" w:name="_Toc184312093"/>
      <w:bookmarkEnd w:id="353"/>
      <w:bookmarkStart w:id="354" w:name="_Toc184308068"/>
      <w:bookmarkEnd w:id="354"/>
      <w:bookmarkStart w:id="355" w:name="_Toc184314463"/>
      <w:bookmarkEnd w:id="355"/>
      <w:bookmarkStart w:id="356" w:name="_Toc184313253"/>
      <w:bookmarkEnd w:id="356"/>
      <w:bookmarkStart w:id="357" w:name="_Toc184314446"/>
      <w:bookmarkEnd w:id="357"/>
      <w:bookmarkStart w:id="358" w:name="_Toc184308081"/>
      <w:bookmarkEnd w:id="358"/>
      <w:bookmarkStart w:id="359" w:name="_Toc184312122"/>
      <w:bookmarkEnd w:id="359"/>
      <w:bookmarkStart w:id="360" w:name="_Toc184312091"/>
      <w:bookmarkEnd w:id="360"/>
      <w:bookmarkStart w:id="361" w:name="_Toc184313306"/>
      <w:bookmarkEnd w:id="361"/>
      <w:bookmarkStart w:id="362" w:name="_Toc184308096"/>
      <w:bookmarkEnd w:id="362"/>
      <w:bookmarkStart w:id="363" w:name="_Toc184312084"/>
      <w:bookmarkEnd w:id="363"/>
      <w:bookmarkStart w:id="364" w:name="_Toc184308072"/>
      <w:bookmarkEnd w:id="364"/>
      <w:bookmarkStart w:id="365" w:name="_Toc184314440"/>
      <w:bookmarkEnd w:id="365"/>
      <w:bookmarkStart w:id="366" w:name="_Toc184314454"/>
      <w:bookmarkEnd w:id="366"/>
      <w:bookmarkStart w:id="367" w:name="_Toc184312085"/>
      <w:bookmarkEnd w:id="367"/>
      <w:bookmarkStart w:id="368" w:name="_Toc184314441"/>
      <w:bookmarkEnd w:id="368"/>
      <w:bookmarkStart w:id="369" w:name="_Toc184308064"/>
      <w:bookmarkEnd w:id="369"/>
      <w:bookmarkStart w:id="370" w:name="_Toc184310303"/>
      <w:bookmarkEnd w:id="370"/>
      <w:bookmarkStart w:id="371" w:name="_Toc184310308"/>
      <w:bookmarkEnd w:id="371"/>
      <w:bookmarkStart w:id="372" w:name="_Toc184310335"/>
      <w:bookmarkEnd w:id="372"/>
      <w:bookmarkStart w:id="373" w:name="_Toc184313290"/>
      <w:bookmarkEnd w:id="373"/>
      <w:bookmarkStart w:id="374" w:name="_Toc184314461"/>
      <w:bookmarkEnd w:id="374"/>
      <w:bookmarkStart w:id="375" w:name="_Toc184310309"/>
      <w:bookmarkEnd w:id="375"/>
      <w:bookmarkStart w:id="376" w:name="_Toc184312126"/>
      <w:bookmarkEnd w:id="376"/>
      <w:bookmarkStart w:id="377" w:name="_Toc184308054"/>
      <w:bookmarkEnd w:id="377"/>
      <w:bookmarkStart w:id="378" w:name="_Toc184313277"/>
      <w:bookmarkEnd w:id="378"/>
      <w:bookmarkStart w:id="379" w:name="_Toc184308094"/>
      <w:bookmarkEnd w:id="379"/>
      <w:bookmarkStart w:id="380" w:name="_Toc184314466"/>
      <w:bookmarkEnd w:id="380"/>
      <w:bookmarkStart w:id="381" w:name="_Toc184314477"/>
      <w:bookmarkEnd w:id="381"/>
      <w:bookmarkStart w:id="382" w:name="_Toc184308049"/>
      <w:bookmarkEnd w:id="382"/>
      <w:bookmarkStart w:id="383" w:name="_Toc184314447"/>
      <w:bookmarkEnd w:id="383"/>
      <w:bookmarkStart w:id="384" w:name="_Toc184308060"/>
      <w:bookmarkEnd w:id="384"/>
      <w:bookmarkStart w:id="385" w:name="_Toc184312097"/>
      <w:bookmarkEnd w:id="385"/>
      <w:bookmarkStart w:id="386" w:name="_Toc184308080"/>
      <w:bookmarkEnd w:id="386"/>
      <w:bookmarkStart w:id="387" w:name="_Toc184313304"/>
      <w:bookmarkEnd w:id="387"/>
      <w:bookmarkStart w:id="388" w:name="_Toc184310304"/>
      <w:bookmarkEnd w:id="388"/>
      <w:bookmarkStart w:id="389" w:name="_Toc184312109"/>
      <w:bookmarkEnd w:id="389"/>
      <w:bookmarkStart w:id="390" w:name="_Toc184313289"/>
      <w:bookmarkEnd w:id="390"/>
      <w:bookmarkStart w:id="391" w:name="_Toc184310298"/>
      <w:bookmarkEnd w:id="391"/>
      <w:bookmarkStart w:id="392" w:name="_Toc184308048"/>
      <w:bookmarkEnd w:id="392"/>
      <w:bookmarkStart w:id="393" w:name="_Toc184312077"/>
      <w:bookmarkEnd w:id="393"/>
      <w:bookmarkStart w:id="394" w:name="_Toc184313301"/>
      <w:bookmarkEnd w:id="394"/>
      <w:bookmarkStart w:id="395" w:name="_Toc184310302"/>
      <w:bookmarkEnd w:id="395"/>
      <w:bookmarkStart w:id="396" w:name="_Toc184314445"/>
      <w:bookmarkEnd w:id="396"/>
      <w:bookmarkStart w:id="397" w:name="_Toc184310287"/>
      <w:bookmarkEnd w:id="397"/>
      <w:bookmarkStart w:id="398" w:name="_Toc184314455"/>
      <w:bookmarkEnd w:id="398"/>
      <w:bookmarkStart w:id="399" w:name="_Toc184314474"/>
      <w:bookmarkEnd w:id="399"/>
      <w:bookmarkStart w:id="400" w:name="_Toc184314480"/>
      <w:bookmarkEnd w:id="400"/>
      <w:bookmarkStart w:id="401" w:name="_Toc184312106"/>
      <w:bookmarkEnd w:id="401"/>
      <w:bookmarkStart w:id="402" w:name="_Toc184308059"/>
      <w:bookmarkEnd w:id="402"/>
      <w:bookmarkStart w:id="403" w:name="_Toc184310299"/>
      <w:bookmarkEnd w:id="403"/>
      <w:bookmarkStart w:id="404" w:name="_Toc184308086"/>
      <w:bookmarkEnd w:id="404"/>
      <w:bookmarkStart w:id="405" w:name="_Toc184313291"/>
      <w:bookmarkEnd w:id="405"/>
      <w:bookmarkStart w:id="406" w:name="_Toc184314459"/>
      <w:bookmarkEnd w:id="406"/>
      <w:bookmarkStart w:id="407" w:name="_Toc184313295"/>
      <w:bookmarkEnd w:id="407"/>
      <w:bookmarkStart w:id="408" w:name="_Toc184312128"/>
      <w:bookmarkEnd w:id="408"/>
      <w:bookmarkStart w:id="409" w:name="_Toc184314473"/>
      <w:bookmarkEnd w:id="409"/>
      <w:bookmarkStart w:id="410" w:name="_Toc184308043"/>
      <w:bookmarkEnd w:id="410"/>
      <w:bookmarkStart w:id="411" w:name="_Toc184310295"/>
      <w:bookmarkEnd w:id="411"/>
      <w:bookmarkStart w:id="412" w:name="_Toc184310292"/>
      <w:bookmarkEnd w:id="412"/>
      <w:bookmarkStart w:id="413" w:name="_Toc184313262"/>
      <w:bookmarkEnd w:id="413"/>
      <w:bookmarkStart w:id="414" w:name="_Toc184312125"/>
      <w:bookmarkEnd w:id="414"/>
      <w:bookmarkStart w:id="415" w:name="_Toc184312089"/>
      <w:bookmarkEnd w:id="415"/>
      <w:bookmarkStart w:id="416" w:name="_Toc184314428"/>
      <w:bookmarkEnd w:id="416"/>
      <w:bookmarkStart w:id="417" w:name="_Toc184308083"/>
      <w:bookmarkEnd w:id="417"/>
      <w:bookmarkStart w:id="418" w:name="_Toc184314433"/>
      <w:bookmarkEnd w:id="418"/>
      <w:bookmarkStart w:id="419" w:name="_Toc184310283"/>
      <w:bookmarkEnd w:id="419"/>
      <w:bookmarkStart w:id="420" w:name="_Toc184313293"/>
      <w:bookmarkEnd w:id="420"/>
      <w:bookmarkStart w:id="421" w:name="_Toc184314436"/>
      <w:bookmarkEnd w:id="421"/>
      <w:bookmarkStart w:id="422" w:name="_Toc184310281"/>
      <w:bookmarkEnd w:id="422"/>
      <w:bookmarkStart w:id="423" w:name="_Toc184310342"/>
      <w:bookmarkEnd w:id="423"/>
      <w:r>
        <w:rPr>
          <w:rFonts w:hint="eastAsia" w:ascii="宋体" w:hAnsi="宋体" w:cs="宋体"/>
          <w:b/>
          <w:sz w:val="36"/>
          <w:szCs w:val="36"/>
        </w:rPr>
        <w:t>评标办法</w:t>
      </w:r>
      <w:bookmarkEnd w:id="56"/>
      <w:bookmarkEnd w:id="57"/>
      <w:bookmarkEnd w:id="58"/>
    </w:p>
    <w:p w14:paraId="41C57417">
      <w:pPr>
        <w:pStyle w:val="5"/>
        <w:bidi w:val="0"/>
      </w:pPr>
      <w:bookmarkStart w:id="424" w:name="_Toc19050"/>
      <w:bookmarkStart w:id="425" w:name="_Toc22464"/>
      <w:r>
        <w:rPr>
          <w:rFonts w:hint="eastAsia"/>
        </w:rPr>
        <w:t>一、评标方法</w:t>
      </w:r>
      <w:bookmarkEnd w:id="424"/>
      <w:bookmarkEnd w:id="425"/>
    </w:p>
    <w:p w14:paraId="16361814">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4BA3EDF2">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074142A5">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09A069EB">
      <w:pPr>
        <w:pStyle w:val="5"/>
        <w:bidi w:val="0"/>
        <w:rPr>
          <w:rFonts w:hint="eastAsia"/>
        </w:rPr>
      </w:pPr>
      <w:bookmarkStart w:id="426" w:name="_Toc4726"/>
      <w:bookmarkStart w:id="427" w:name="_Toc30791"/>
      <w:r>
        <w:rPr>
          <w:rFonts w:hint="eastAsia"/>
        </w:rPr>
        <w:t>二、评标标准</w:t>
      </w:r>
      <w:bookmarkEnd w:id="426"/>
      <w:bookmarkEnd w:id="427"/>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3AB2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2C41D6C8">
            <w:pPr>
              <w:bidi w:val="0"/>
              <w:ind w:left="0" w:leftChars="0" w:firstLine="0" w:firstLineChars="0"/>
              <w:jc w:val="center"/>
              <w:rPr>
                <w:rFonts w:hint="eastAsia"/>
                <w:b/>
                <w:bCs/>
                <w:lang w:eastAsia="zh-CN"/>
              </w:rPr>
            </w:pPr>
            <w:r>
              <w:rPr>
                <w:rFonts w:hint="eastAsia"/>
                <w:b/>
                <w:bCs/>
                <w:lang w:eastAsia="zh-CN"/>
              </w:rPr>
              <w:t>序号</w:t>
            </w:r>
          </w:p>
        </w:tc>
        <w:tc>
          <w:tcPr>
            <w:tcW w:w="592" w:type="pct"/>
            <w:noWrap w:val="0"/>
            <w:vAlign w:val="center"/>
          </w:tcPr>
          <w:p w14:paraId="3D329A26">
            <w:pPr>
              <w:bidi w:val="0"/>
              <w:ind w:left="0" w:leftChars="0" w:firstLine="0" w:firstLineChars="0"/>
              <w:jc w:val="center"/>
              <w:rPr>
                <w:rFonts w:hint="eastAsia"/>
                <w:b/>
                <w:bCs/>
                <w:lang w:eastAsia="zh-CN"/>
              </w:rPr>
            </w:pPr>
            <w:r>
              <w:rPr>
                <w:rFonts w:hint="eastAsia"/>
                <w:b/>
                <w:bCs/>
                <w:lang w:eastAsia="zh-CN"/>
              </w:rPr>
              <w:t>评分类型</w:t>
            </w:r>
          </w:p>
        </w:tc>
        <w:tc>
          <w:tcPr>
            <w:tcW w:w="2718" w:type="pct"/>
            <w:noWrap w:val="0"/>
            <w:vAlign w:val="center"/>
          </w:tcPr>
          <w:p w14:paraId="1CA51AAE">
            <w:pPr>
              <w:bidi w:val="0"/>
              <w:ind w:left="0" w:leftChars="0" w:firstLine="0" w:firstLineChars="0"/>
              <w:jc w:val="center"/>
              <w:rPr>
                <w:rFonts w:hint="eastAsia"/>
                <w:b/>
                <w:bCs/>
                <w:lang w:eastAsia="zh-CN"/>
              </w:rPr>
            </w:pPr>
            <w:r>
              <w:rPr>
                <w:rFonts w:hint="eastAsia"/>
                <w:b/>
                <w:bCs/>
                <w:lang w:eastAsia="zh-CN"/>
              </w:rPr>
              <w:t>评分标准</w:t>
            </w:r>
          </w:p>
        </w:tc>
        <w:tc>
          <w:tcPr>
            <w:tcW w:w="626" w:type="pct"/>
            <w:noWrap w:val="0"/>
            <w:vAlign w:val="center"/>
          </w:tcPr>
          <w:p w14:paraId="73390ABE">
            <w:pPr>
              <w:bidi w:val="0"/>
              <w:ind w:left="0" w:leftChars="0" w:firstLine="0" w:firstLineChars="0"/>
              <w:jc w:val="center"/>
              <w:rPr>
                <w:rFonts w:hint="eastAsia" w:ascii="宋体" w:hAnsi="宋体" w:eastAsia="宋体" w:cs="宋体"/>
                <w:b/>
                <w:bCs/>
                <w:lang w:eastAsia="zh-CN"/>
              </w:rPr>
            </w:pPr>
            <w:r>
              <w:rPr>
                <w:rFonts w:hint="eastAsia" w:ascii="宋体" w:hAnsi="宋体" w:eastAsia="宋体" w:cs="宋体"/>
                <w:b/>
                <w:bCs/>
                <w:lang w:val="en-US" w:eastAsia="zh-CN"/>
              </w:rPr>
              <w:t>分值范围</w:t>
            </w:r>
          </w:p>
        </w:tc>
        <w:tc>
          <w:tcPr>
            <w:tcW w:w="641" w:type="pct"/>
            <w:noWrap w:val="0"/>
            <w:vAlign w:val="center"/>
          </w:tcPr>
          <w:p w14:paraId="52A604DD">
            <w:pPr>
              <w:bidi w:val="0"/>
              <w:ind w:left="0" w:leftChars="0" w:firstLine="0" w:firstLineChars="0"/>
              <w:jc w:val="center"/>
              <w:rPr>
                <w:rFonts w:hint="eastAsia"/>
                <w:b/>
                <w:bCs/>
                <w:lang w:eastAsia="zh-CN"/>
              </w:rPr>
            </w:pPr>
            <w:r>
              <w:rPr>
                <w:rFonts w:hint="eastAsia" w:ascii="宋体" w:hAnsi="宋体" w:eastAsia="宋体" w:cs="宋体"/>
                <w:b/>
                <w:bCs/>
                <w:lang w:eastAsia="zh-CN"/>
              </w:rPr>
              <w:t>评分</w:t>
            </w:r>
            <w:r>
              <w:rPr>
                <w:rFonts w:hint="eastAsia" w:ascii="宋体" w:hAnsi="宋体" w:eastAsia="宋体" w:cs="宋体"/>
                <w:b/>
                <w:bCs/>
              </w:rPr>
              <w:t>属性</w:t>
            </w:r>
          </w:p>
        </w:tc>
      </w:tr>
      <w:tr w14:paraId="41F6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3D4FFA85">
            <w:pPr>
              <w:bidi w:val="0"/>
              <w:ind w:left="0" w:leftChars="0" w:firstLine="0" w:firstLineChars="0"/>
              <w:jc w:val="center"/>
              <w:rPr>
                <w:rFonts w:hint="eastAsia"/>
                <w:lang w:eastAsia="zh-CN"/>
              </w:rPr>
            </w:pPr>
            <w:r>
              <w:rPr>
                <w:rFonts w:hint="eastAsia"/>
                <w:lang w:eastAsia="zh-CN"/>
              </w:rPr>
              <w:t>1</w:t>
            </w:r>
          </w:p>
        </w:tc>
        <w:tc>
          <w:tcPr>
            <w:tcW w:w="592" w:type="pct"/>
            <w:noWrap w:val="0"/>
            <w:vAlign w:val="center"/>
          </w:tcPr>
          <w:p w14:paraId="7546E9D0">
            <w:pPr>
              <w:bidi w:val="0"/>
              <w:ind w:left="0" w:leftChars="0" w:firstLine="0" w:firstLineChars="0"/>
              <w:jc w:val="center"/>
              <w:rPr>
                <w:rFonts w:hint="eastAsia"/>
                <w:lang w:eastAsia="zh-CN"/>
              </w:rPr>
            </w:pPr>
            <w:r>
              <w:rPr>
                <w:rFonts w:hint="eastAsia"/>
                <w:lang w:eastAsia="zh-CN"/>
              </w:rPr>
              <w:t>报价</w:t>
            </w:r>
          </w:p>
        </w:tc>
        <w:tc>
          <w:tcPr>
            <w:tcW w:w="2718" w:type="pct"/>
            <w:noWrap w:val="0"/>
            <w:vAlign w:val="center"/>
          </w:tcPr>
          <w:p w14:paraId="28FF8108">
            <w:pPr>
              <w:bidi w:val="0"/>
              <w:ind w:left="0" w:leftChars="0" w:firstLine="0" w:firstLineChars="0"/>
              <w:jc w:val="left"/>
              <w:rPr>
                <w:rFonts w:hint="eastAsia"/>
                <w:lang w:eastAsia="zh-CN"/>
              </w:rPr>
            </w:pPr>
            <w:r>
              <w:rPr>
                <w:rFonts w:hint="eastAsia"/>
                <w:lang w:eastAsia="zh-CN"/>
              </w:rPr>
              <w:t>价格分采用低价优先法计算，即</w:t>
            </w:r>
            <w:r>
              <w:rPr>
                <w:rFonts w:hint="eastAsia"/>
              </w:rPr>
              <w:t>有效</w:t>
            </w:r>
            <w:r>
              <w:rPr>
                <w:rFonts w:hint="eastAsia"/>
                <w:lang w:val="en-US" w:eastAsia="zh-CN"/>
              </w:rPr>
              <w:t>投标</w:t>
            </w:r>
            <w:r>
              <w:rPr>
                <w:rFonts w:hint="eastAsia"/>
              </w:rPr>
              <w:t>报价的最低价</w:t>
            </w:r>
            <w:r>
              <w:rPr>
                <w:rFonts w:hint="eastAsia"/>
                <w:lang w:eastAsia="zh-CN"/>
              </w:rPr>
              <w:t>为</w:t>
            </w:r>
            <w:r>
              <w:rPr>
                <w:rFonts w:hint="eastAsia"/>
                <w:lang w:val="en-US" w:eastAsia="zh-CN"/>
              </w:rPr>
              <w:t>评审</w:t>
            </w:r>
            <w:r>
              <w:rPr>
                <w:rFonts w:hint="eastAsia"/>
                <w:lang w:eastAsia="zh-CN"/>
              </w:rPr>
              <w:t>基准价，</w:t>
            </w:r>
            <w:r>
              <w:rPr>
                <w:rFonts w:hint="eastAsia"/>
              </w:rPr>
              <w:t>其最低报价为满分</w:t>
            </w:r>
            <w:r>
              <w:rPr>
                <w:rFonts w:hint="eastAsia"/>
                <w:lang w:eastAsia="zh-CN"/>
              </w:rPr>
              <w:t>。其他</w:t>
            </w:r>
            <w:r>
              <w:rPr>
                <w:rFonts w:hint="eastAsia"/>
                <w:lang w:val="en-US" w:eastAsia="zh-CN"/>
              </w:rPr>
              <w:t>投标人</w:t>
            </w:r>
            <w:r>
              <w:rPr>
                <w:rFonts w:hint="eastAsia"/>
                <w:lang w:eastAsia="zh-CN"/>
              </w:rPr>
              <w:t>的</w:t>
            </w:r>
            <w:r>
              <w:rPr>
                <w:rFonts w:hint="eastAsia"/>
                <w:lang w:val="en-US" w:eastAsia="zh-CN"/>
              </w:rPr>
              <w:t>报价</w:t>
            </w:r>
            <w:r>
              <w:rPr>
                <w:rFonts w:hint="eastAsia"/>
                <w:lang w:eastAsia="zh-CN"/>
              </w:rPr>
              <w:t>分统一按照下列公式计算：</w:t>
            </w:r>
          </w:p>
          <w:p w14:paraId="095F675F">
            <w:pPr>
              <w:bidi w:val="0"/>
              <w:ind w:left="0" w:leftChars="0" w:firstLine="0" w:firstLineChars="0"/>
              <w:jc w:val="left"/>
              <w:rPr>
                <w:rFonts w:hint="default"/>
                <w:lang w:val="en-US" w:eastAsia="zh-CN"/>
              </w:rPr>
            </w:pPr>
            <w:r>
              <w:rPr>
                <w:rFonts w:hint="eastAsia"/>
                <w:lang w:eastAsia="zh-CN"/>
              </w:rPr>
              <w:t>报价得分=（</w:t>
            </w:r>
            <w:r>
              <w:rPr>
                <w:rFonts w:hint="eastAsia"/>
                <w:lang w:val="en-US" w:eastAsia="zh-CN"/>
              </w:rPr>
              <w:t>评审</w:t>
            </w:r>
            <w:r>
              <w:rPr>
                <w:rFonts w:hint="eastAsia"/>
                <w:lang w:eastAsia="zh-CN"/>
              </w:rPr>
              <w:t>基准价/投标报价）</w:t>
            </w:r>
            <w:r>
              <w:rPr>
                <w:rFonts w:hint="eastAsia"/>
                <w:lang w:val="en-US" w:eastAsia="zh-CN"/>
              </w:rPr>
              <w:t>*10</w:t>
            </w:r>
          </w:p>
          <w:p w14:paraId="75C39178">
            <w:pPr>
              <w:ind w:left="0" w:leftChars="0" w:firstLine="0" w:firstLineChars="0"/>
              <w:rPr>
                <w:rFonts w:hint="eastAsia"/>
                <w:lang w:eastAsia="zh-CN"/>
              </w:rPr>
            </w:pPr>
            <w:r>
              <w:rPr>
                <w:rFonts w:hint="eastAsia" w:ascii="宋体" w:hAnsi="宋体" w:cs="宋体"/>
                <w:b w:val="0"/>
                <w:bCs w:val="0"/>
                <w:color w:val="auto"/>
                <w:szCs w:val="21"/>
                <w:highlight w:val="none"/>
              </w:rPr>
              <w:t>已</w:t>
            </w:r>
            <w:r>
              <w:rPr>
                <w:rFonts w:hint="eastAsia" w:ascii="宋体" w:hAnsi="宋体" w:cs="宋体"/>
                <w:b w:val="0"/>
                <w:bCs w:val="0"/>
                <w:color w:val="auto"/>
                <w:szCs w:val="21"/>
                <w:highlight w:val="none"/>
                <w:lang w:eastAsia="zh-CN"/>
              </w:rPr>
              <w:t>预留份额专门</w:t>
            </w:r>
            <w:r>
              <w:rPr>
                <w:rFonts w:hint="eastAsia" w:ascii="宋体" w:hAnsi="宋体" w:cs="宋体"/>
                <w:b w:val="0"/>
                <w:bCs w:val="0"/>
                <w:color w:val="auto"/>
                <w:szCs w:val="21"/>
                <w:highlight w:val="none"/>
              </w:rPr>
              <w:t>面向中小微企业采购的项目，不再执行价格评审优惠的扶持政策。</w:t>
            </w:r>
          </w:p>
        </w:tc>
        <w:tc>
          <w:tcPr>
            <w:tcW w:w="626" w:type="pct"/>
            <w:noWrap w:val="0"/>
            <w:vAlign w:val="center"/>
          </w:tcPr>
          <w:p w14:paraId="0E6AB835">
            <w:pPr>
              <w:bidi w:val="0"/>
              <w:ind w:left="0" w:leftChars="0" w:firstLine="0" w:firstLineChars="0"/>
              <w:jc w:val="center"/>
              <w:rPr>
                <w:rFonts w:hint="eastAsia" w:ascii="宋体" w:hAnsi="宋体" w:eastAsia="宋体" w:cs="宋体"/>
                <w:lang w:eastAsia="zh-CN"/>
              </w:rPr>
            </w:pPr>
            <w:r>
              <w:rPr>
                <w:rFonts w:hint="eastAsia" w:ascii="宋体" w:hAnsi="宋体" w:eastAsia="宋体" w:cs="宋体"/>
                <w:lang w:val="en-US" w:eastAsia="zh-CN"/>
              </w:rPr>
              <w:t>0-</w:t>
            </w:r>
            <w:r>
              <w:rPr>
                <w:rFonts w:hint="eastAsia" w:ascii="宋体" w:hAnsi="宋体" w:cs="宋体"/>
                <w:lang w:val="en-US" w:eastAsia="zh-CN"/>
              </w:rPr>
              <w:t>1</w:t>
            </w:r>
            <w:r>
              <w:rPr>
                <w:rFonts w:hint="eastAsia" w:ascii="宋体" w:hAnsi="宋体" w:eastAsia="宋体" w:cs="宋体"/>
                <w:lang w:eastAsia="zh-CN"/>
              </w:rPr>
              <w:t>0</w:t>
            </w:r>
            <w:r>
              <w:rPr>
                <w:rFonts w:hint="eastAsia" w:ascii="宋体" w:hAnsi="宋体" w:eastAsia="宋体" w:cs="宋体"/>
                <w:lang w:val="en-US" w:eastAsia="zh-CN"/>
              </w:rPr>
              <w:t>分</w:t>
            </w:r>
          </w:p>
        </w:tc>
        <w:tc>
          <w:tcPr>
            <w:tcW w:w="641" w:type="pct"/>
            <w:noWrap w:val="0"/>
            <w:vAlign w:val="center"/>
          </w:tcPr>
          <w:p w14:paraId="748EB213">
            <w:pPr>
              <w:bidi w:val="0"/>
              <w:ind w:left="0" w:leftChars="0" w:firstLine="0" w:firstLineChars="0"/>
              <w:jc w:val="center"/>
              <w:rPr>
                <w:rFonts w:hint="default"/>
                <w:lang w:val="en-US" w:eastAsia="zh-CN"/>
              </w:rPr>
            </w:pPr>
            <w:r>
              <w:rPr>
                <w:rFonts w:hint="eastAsia"/>
                <w:lang w:val="en-US" w:eastAsia="zh-CN"/>
              </w:rPr>
              <w:t>客观分</w:t>
            </w:r>
          </w:p>
        </w:tc>
      </w:tr>
      <w:tr w14:paraId="3EA9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5B777ED6">
            <w:pPr>
              <w:bidi w:val="0"/>
              <w:ind w:left="0" w:leftChars="0" w:firstLine="0" w:firstLineChars="0"/>
              <w:jc w:val="center"/>
              <w:rPr>
                <w:rFonts w:hint="default"/>
                <w:lang w:val="en-US" w:eastAsia="zh-CN"/>
              </w:rPr>
            </w:pPr>
            <w:r>
              <w:rPr>
                <w:rFonts w:hint="eastAsia"/>
                <w:lang w:val="en-US" w:eastAsia="zh-CN"/>
              </w:rPr>
              <w:t>2</w:t>
            </w:r>
          </w:p>
        </w:tc>
        <w:tc>
          <w:tcPr>
            <w:tcW w:w="592" w:type="pct"/>
            <w:noWrap w:val="0"/>
            <w:vAlign w:val="center"/>
          </w:tcPr>
          <w:p w14:paraId="5A857AC5">
            <w:pPr>
              <w:bidi w:val="0"/>
              <w:ind w:left="0" w:leftChars="0" w:firstLine="0" w:firstLineChars="0"/>
              <w:jc w:val="center"/>
              <w:rPr>
                <w:rFonts w:hint="default"/>
                <w:lang w:val="en-US" w:eastAsia="zh-CN"/>
              </w:rPr>
            </w:pPr>
            <w:r>
              <w:rPr>
                <w:rFonts w:hint="eastAsia"/>
                <w:lang w:val="en-US" w:eastAsia="zh-CN"/>
              </w:rPr>
              <w:t>商务</w:t>
            </w:r>
          </w:p>
        </w:tc>
        <w:tc>
          <w:tcPr>
            <w:tcW w:w="2718" w:type="pct"/>
            <w:noWrap w:val="0"/>
            <w:vAlign w:val="center"/>
          </w:tcPr>
          <w:p w14:paraId="70904D78">
            <w:pPr>
              <w:ind w:left="0" w:leftChars="0" w:firstLine="0" w:firstLineChars="0"/>
              <w:rPr>
                <w:rFonts w:hint="eastAsia" w:ascii="宋体" w:hAnsi="宋体" w:cs="宋体"/>
                <w:b/>
                <w:bCs/>
                <w:sz w:val="24"/>
              </w:rPr>
            </w:pPr>
            <w:r>
              <w:rPr>
                <w:rFonts w:hint="eastAsia" w:ascii="宋体" w:hAnsi="宋体" w:cs="宋体"/>
                <w:sz w:val="24"/>
              </w:rPr>
              <w:t>供应商自202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月份以来承接过同类项目业绩，每个得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分；（业绩必须提供相应的证明文件（合同复印件），</w:t>
            </w:r>
            <w:r>
              <w:rPr>
                <w:rFonts w:hint="eastAsia" w:ascii="宋体" w:hAnsi="宋体" w:cs="宋体"/>
                <w:sz w:val="24"/>
                <w:lang w:val="en-US" w:eastAsia="zh-CN"/>
              </w:rPr>
              <w:t>否则不得分，</w:t>
            </w:r>
            <w:r>
              <w:rPr>
                <w:rFonts w:hint="eastAsia" w:ascii="宋体" w:hAnsi="宋体" w:cs="宋体"/>
                <w:sz w:val="24"/>
              </w:rPr>
              <w:t>时间以合同签订时间为准。）</w:t>
            </w:r>
          </w:p>
        </w:tc>
        <w:tc>
          <w:tcPr>
            <w:tcW w:w="626" w:type="pct"/>
            <w:noWrap w:val="0"/>
            <w:vAlign w:val="center"/>
          </w:tcPr>
          <w:p w14:paraId="2A592016">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0-</w:t>
            </w:r>
            <w:r>
              <w:rPr>
                <w:rFonts w:hint="eastAsia" w:ascii="宋体" w:hAnsi="宋体" w:cs="宋体"/>
                <w:lang w:val="en-US" w:eastAsia="zh-CN"/>
              </w:rPr>
              <w:t>1</w:t>
            </w:r>
            <w:r>
              <w:rPr>
                <w:rFonts w:hint="eastAsia" w:ascii="宋体" w:hAnsi="宋体" w:eastAsia="宋体" w:cs="宋体"/>
                <w:lang w:val="en-US" w:eastAsia="zh-CN"/>
              </w:rPr>
              <w:t>分</w:t>
            </w:r>
          </w:p>
        </w:tc>
        <w:tc>
          <w:tcPr>
            <w:tcW w:w="641" w:type="pct"/>
            <w:noWrap w:val="0"/>
            <w:vAlign w:val="center"/>
          </w:tcPr>
          <w:p w14:paraId="54B6AADD">
            <w:pPr>
              <w:bidi w:val="0"/>
              <w:ind w:left="0" w:leftChars="0" w:firstLine="0" w:firstLineChars="0"/>
              <w:jc w:val="center"/>
              <w:rPr>
                <w:rFonts w:hint="eastAsia"/>
                <w:lang w:val="en-US" w:eastAsia="zh-CN"/>
              </w:rPr>
            </w:pPr>
            <w:r>
              <w:rPr>
                <w:rFonts w:hint="eastAsia"/>
                <w:lang w:val="en-US" w:eastAsia="zh-CN"/>
              </w:rPr>
              <w:t>客观分</w:t>
            </w:r>
          </w:p>
        </w:tc>
      </w:tr>
      <w:tr w14:paraId="5C76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24F1933F">
            <w:pPr>
              <w:bidi w:val="0"/>
              <w:ind w:left="0" w:leftChars="0" w:firstLine="0" w:firstLineChars="0"/>
              <w:jc w:val="center"/>
              <w:rPr>
                <w:rFonts w:hint="default"/>
                <w:lang w:val="en-US" w:eastAsia="zh-CN"/>
              </w:rPr>
            </w:pPr>
            <w:r>
              <w:rPr>
                <w:rFonts w:hint="eastAsia"/>
                <w:lang w:val="en-US" w:eastAsia="zh-CN"/>
              </w:rPr>
              <w:t>3</w:t>
            </w:r>
          </w:p>
        </w:tc>
        <w:tc>
          <w:tcPr>
            <w:tcW w:w="592" w:type="pct"/>
            <w:noWrap w:val="0"/>
            <w:vAlign w:val="center"/>
          </w:tcPr>
          <w:p w14:paraId="5E3BFE54">
            <w:pPr>
              <w:bidi w:val="0"/>
              <w:ind w:left="0" w:leftChars="0" w:firstLine="0" w:firstLineChars="0"/>
              <w:jc w:val="center"/>
              <w:rPr>
                <w:rFonts w:hint="eastAsia"/>
                <w:lang w:val="en-US" w:eastAsia="zh-CN"/>
              </w:rPr>
            </w:pPr>
            <w:r>
              <w:rPr>
                <w:rFonts w:hint="eastAsia"/>
                <w:lang w:val="en-US" w:eastAsia="zh-CN"/>
              </w:rPr>
              <w:t>技术</w:t>
            </w:r>
          </w:p>
        </w:tc>
        <w:tc>
          <w:tcPr>
            <w:tcW w:w="2718" w:type="pct"/>
            <w:noWrap w:val="0"/>
            <w:vAlign w:val="center"/>
          </w:tcPr>
          <w:p w14:paraId="33B18AEE">
            <w:pPr>
              <w:ind w:left="0" w:leftChars="0" w:firstLine="0" w:firstLineChars="0"/>
              <w:jc w:val="both"/>
              <w:rPr>
                <w:rFonts w:hint="default" w:ascii="宋体" w:hAnsi="宋体" w:eastAsia="宋体" w:cs="宋体"/>
                <w:sz w:val="24"/>
                <w:lang w:val="en-US" w:eastAsia="zh-CN"/>
              </w:rPr>
            </w:pPr>
            <w:r>
              <w:rPr>
                <w:rFonts w:hint="eastAsia" w:ascii="宋体" w:hAnsi="宋体" w:eastAsia="宋体" w:cs="宋体"/>
                <w:szCs w:val="21"/>
                <w:lang w:val="zh-CN"/>
              </w:rPr>
              <w:t>对用户需求的理解和分析把握、重难点分析及解决办法（提供对项目的书面具体阐述情况）0-5分（评分范围：5，4，3，2，1，0）</w:t>
            </w:r>
          </w:p>
        </w:tc>
        <w:tc>
          <w:tcPr>
            <w:tcW w:w="626" w:type="pct"/>
            <w:noWrap w:val="0"/>
            <w:vAlign w:val="center"/>
          </w:tcPr>
          <w:p w14:paraId="0CEA84FF">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0-5分</w:t>
            </w:r>
          </w:p>
        </w:tc>
        <w:tc>
          <w:tcPr>
            <w:tcW w:w="641" w:type="pct"/>
            <w:noWrap w:val="0"/>
            <w:vAlign w:val="center"/>
          </w:tcPr>
          <w:p w14:paraId="65AD963F">
            <w:pPr>
              <w:bidi w:val="0"/>
              <w:ind w:left="0" w:leftChars="0" w:firstLine="0" w:firstLineChars="0"/>
              <w:jc w:val="center"/>
              <w:rPr>
                <w:rFonts w:hint="eastAsia"/>
                <w:lang w:val="en-US" w:eastAsia="zh-CN"/>
              </w:rPr>
            </w:pPr>
            <w:r>
              <w:rPr>
                <w:rFonts w:hint="eastAsia"/>
                <w:lang w:val="en-US" w:eastAsia="zh-CN"/>
              </w:rPr>
              <w:t>主观分</w:t>
            </w:r>
          </w:p>
        </w:tc>
      </w:tr>
      <w:tr w14:paraId="53FD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noWrap w:val="0"/>
            <w:vAlign w:val="center"/>
          </w:tcPr>
          <w:p w14:paraId="7B4901AA">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4</w:t>
            </w:r>
          </w:p>
        </w:tc>
        <w:tc>
          <w:tcPr>
            <w:tcW w:w="592" w:type="pct"/>
            <w:shd w:val="clear" w:color="auto" w:fill="auto"/>
            <w:noWrap w:val="0"/>
            <w:vAlign w:val="center"/>
          </w:tcPr>
          <w:p w14:paraId="7C406FEF">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18" w:type="pct"/>
            <w:noWrap w:val="0"/>
            <w:vAlign w:val="center"/>
          </w:tcPr>
          <w:p w14:paraId="77A1972E">
            <w:pPr>
              <w:ind w:left="0" w:leftChars="0" w:firstLine="0" w:firstLineChars="0"/>
              <w:jc w:val="both"/>
              <w:rPr>
                <w:rFonts w:hint="default" w:ascii="宋体" w:hAnsi="宋体" w:eastAsia="宋体" w:cs="宋体"/>
                <w:szCs w:val="21"/>
                <w:lang w:val="en-US" w:eastAsia="zh-CN"/>
              </w:rPr>
            </w:pPr>
            <w:r>
              <w:rPr>
                <w:rFonts w:hint="eastAsia" w:ascii="宋体" w:hAnsi="宋体" w:cs="宋体"/>
                <w:szCs w:val="21"/>
                <w:lang w:val="en-US" w:eastAsia="zh-CN"/>
              </w:rPr>
              <w:t>机房建设整体服务方案</w:t>
            </w:r>
            <w:r>
              <w:rPr>
                <w:rFonts w:hint="eastAsia" w:ascii="宋体" w:hAnsi="宋体" w:eastAsia="宋体" w:cs="宋体"/>
                <w:szCs w:val="21"/>
                <w:lang w:val="zh-CN"/>
              </w:rPr>
              <w:t>0-5分（评分范围：5，4，3，2，1，0）</w:t>
            </w:r>
          </w:p>
        </w:tc>
        <w:tc>
          <w:tcPr>
            <w:tcW w:w="626" w:type="pct"/>
            <w:shd w:val="clear" w:color="auto" w:fill="auto"/>
            <w:noWrap w:val="0"/>
            <w:vAlign w:val="center"/>
          </w:tcPr>
          <w:p w14:paraId="1CB02047">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41" w:type="pct"/>
            <w:shd w:val="clear" w:color="auto" w:fill="auto"/>
            <w:noWrap w:val="0"/>
            <w:vAlign w:val="center"/>
          </w:tcPr>
          <w:p w14:paraId="395AF4C0">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主观分</w:t>
            </w:r>
          </w:p>
        </w:tc>
      </w:tr>
      <w:tr w14:paraId="13FF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noWrap w:val="0"/>
            <w:vAlign w:val="center"/>
          </w:tcPr>
          <w:p w14:paraId="69C5061F">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5</w:t>
            </w:r>
          </w:p>
        </w:tc>
        <w:tc>
          <w:tcPr>
            <w:tcW w:w="592" w:type="pct"/>
            <w:shd w:val="clear" w:color="auto" w:fill="auto"/>
            <w:noWrap w:val="0"/>
            <w:vAlign w:val="center"/>
          </w:tcPr>
          <w:p w14:paraId="5D0B1A8F">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18" w:type="pct"/>
            <w:noWrap w:val="0"/>
            <w:vAlign w:val="center"/>
          </w:tcPr>
          <w:p w14:paraId="52170C3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cs="仿宋_GB2312" w:asciiTheme="minorEastAsia" w:hAnsiTheme="minorEastAsia" w:eastAsiaTheme="minorEastAsia"/>
                <w:sz w:val="24"/>
              </w:rPr>
            </w:pPr>
            <w:r>
              <w:rPr>
                <w:rFonts w:hint="eastAsia" w:ascii="宋体" w:hAnsi="宋体" w:eastAsia="宋体" w:cs="宋体"/>
                <w:color w:val="auto"/>
                <w:kern w:val="2"/>
                <w:sz w:val="24"/>
                <w:szCs w:val="24"/>
              </w:rPr>
              <w:t>针对招标文件第三部分采购需求的响应情况，</w:t>
            </w:r>
            <w:r>
              <w:rPr>
                <w:rFonts w:hint="eastAsia" w:cs="仿宋_GB2312" w:asciiTheme="minorEastAsia" w:hAnsiTheme="minorEastAsia" w:eastAsiaTheme="minorEastAsia"/>
                <w:sz w:val="24"/>
                <w:lang w:val="en-US" w:eastAsia="zh-CN"/>
              </w:rPr>
              <w:t>完全响应得45分，</w:t>
            </w:r>
            <w:r>
              <w:rPr>
                <w:rFonts w:hint="eastAsia" w:cs="仿宋_GB2312" w:asciiTheme="minorEastAsia" w:hAnsiTheme="minorEastAsia" w:eastAsiaTheme="minorEastAsia"/>
                <w:sz w:val="24"/>
              </w:rPr>
              <w:t>一般</w:t>
            </w:r>
            <w:r>
              <w:rPr>
                <w:rFonts w:hint="eastAsia" w:cs="仿宋_GB2312" w:asciiTheme="minorEastAsia" w:hAnsiTheme="minorEastAsia" w:eastAsiaTheme="minorEastAsia"/>
                <w:sz w:val="24"/>
                <w:lang w:val="en-US" w:eastAsia="zh-CN"/>
              </w:rPr>
              <w:t>参数</w:t>
            </w:r>
            <w:r>
              <w:rPr>
                <w:rFonts w:hint="eastAsia" w:cs="仿宋_GB2312" w:asciiTheme="minorEastAsia" w:hAnsiTheme="minorEastAsia" w:eastAsiaTheme="minorEastAsia"/>
                <w:sz w:val="24"/>
              </w:rPr>
              <w:t>要求（采购需求中未打▲、★的指标条款）每负偏离一项扣</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val="en-US" w:eastAsia="zh-CN"/>
              </w:rPr>
              <w:t>重要参数要求</w:t>
            </w:r>
            <w:r>
              <w:rPr>
                <w:rFonts w:hint="eastAsia" w:cs="仿宋_GB2312" w:asciiTheme="minorEastAsia" w:hAnsiTheme="minorEastAsia" w:eastAsiaTheme="minorEastAsia"/>
                <w:sz w:val="24"/>
              </w:rPr>
              <w:t>（采购需求中打★的指标条款）每负偏离一项扣</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扣完为止。</w:t>
            </w:r>
          </w:p>
          <w:p w14:paraId="1E1E7A8D">
            <w:pPr>
              <w:bidi w:val="0"/>
              <w:ind w:left="0" w:leftChars="0" w:firstLine="0" w:firstLineChars="0"/>
              <w:jc w:val="both"/>
              <w:rPr>
                <w:rFonts w:hint="eastAsia"/>
                <w:lang w:eastAsia="zh-CN"/>
              </w:rPr>
            </w:pPr>
            <w:r>
              <w:rPr>
                <w:rFonts w:hint="eastAsia" w:hAnsi="宋体"/>
              </w:rPr>
              <w:t>注：采购需求中要求提供佐证材料的，不提供的视为负偏离。</w:t>
            </w:r>
          </w:p>
        </w:tc>
        <w:tc>
          <w:tcPr>
            <w:tcW w:w="626" w:type="pct"/>
            <w:noWrap w:val="0"/>
            <w:vAlign w:val="center"/>
          </w:tcPr>
          <w:p w14:paraId="7B18E679">
            <w:pPr>
              <w:bidi w:val="0"/>
              <w:ind w:left="0" w:leftChars="0" w:firstLine="0" w:firstLineChars="0"/>
              <w:jc w:val="center"/>
              <w:rPr>
                <w:rFonts w:hint="default" w:ascii="宋体" w:hAnsi="宋体" w:eastAsia="宋体" w:cs="宋体"/>
                <w:lang w:eastAsia="zh-CN"/>
              </w:rPr>
            </w:pPr>
            <w:r>
              <w:rPr>
                <w:rFonts w:hint="eastAsia" w:ascii="宋体" w:hAnsi="宋体" w:eastAsia="宋体" w:cs="宋体"/>
                <w:lang w:val="en-US" w:eastAsia="zh-CN"/>
              </w:rPr>
              <w:t>0-</w:t>
            </w:r>
            <w:r>
              <w:rPr>
                <w:rFonts w:hint="eastAsia" w:ascii="宋体" w:hAnsi="宋体" w:cs="宋体"/>
                <w:lang w:val="en-US" w:eastAsia="zh-CN"/>
              </w:rPr>
              <w:t>45</w:t>
            </w:r>
            <w:r>
              <w:rPr>
                <w:rFonts w:hint="eastAsia" w:ascii="宋体" w:hAnsi="宋体" w:eastAsia="宋体" w:cs="宋体"/>
                <w:lang w:val="en-US" w:eastAsia="zh-CN"/>
              </w:rPr>
              <w:t>分</w:t>
            </w:r>
          </w:p>
        </w:tc>
        <w:tc>
          <w:tcPr>
            <w:tcW w:w="641" w:type="pct"/>
            <w:noWrap w:val="0"/>
            <w:vAlign w:val="center"/>
          </w:tcPr>
          <w:p w14:paraId="4A73208C">
            <w:pPr>
              <w:bidi w:val="0"/>
              <w:ind w:left="0" w:leftChars="0" w:firstLine="0" w:firstLineChars="0"/>
              <w:jc w:val="center"/>
              <w:rPr>
                <w:rFonts w:hint="default"/>
                <w:lang w:val="en-US" w:eastAsia="zh-CN"/>
              </w:rPr>
            </w:pPr>
            <w:r>
              <w:rPr>
                <w:rFonts w:hint="eastAsia"/>
                <w:lang w:val="en-US" w:eastAsia="zh-CN"/>
              </w:rPr>
              <w:t>客观分</w:t>
            </w:r>
          </w:p>
        </w:tc>
      </w:tr>
      <w:tr w14:paraId="3E4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noWrap w:val="0"/>
            <w:vAlign w:val="center"/>
          </w:tcPr>
          <w:p w14:paraId="048C7DA1">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6</w:t>
            </w:r>
          </w:p>
        </w:tc>
        <w:tc>
          <w:tcPr>
            <w:tcW w:w="592" w:type="pct"/>
            <w:shd w:val="clear" w:color="auto" w:fill="auto"/>
            <w:noWrap w:val="0"/>
            <w:vAlign w:val="center"/>
          </w:tcPr>
          <w:p w14:paraId="3C3C6932">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18" w:type="pct"/>
            <w:noWrap w:val="0"/>
            <w:vAlign w:val="center"/>
          </w:tcPr>
          <w:p w14:paraId="65B928D0">
            <w:pPr>
              <w:bidi w:val="0"/>
              <w:ind w:left="0" w:leftChars="0" w:firstLine="0" w:firstLineChars="0"/>
              <w:jc w:val="left"/>
              <w:rPr>
                <w:rFonts w:hint="eastAsia"/>
                <w:lang w:eastAsia="zh-CN"/>
              </w:rPr>
            </w:pPr>
            <w:r>
              <w:rPr>
                <w:rFonts w:hint="eastAsia" w:ascii="宋体" w:hAnsi="宋体" w:eastAsia="宋体" w:cs="宋体"/>
                <w:szCs w:val="21"/>
                <w:lang w:val="en-US" w:eastAsia="zh-CN"/>
              </w:rPr>
              <w:t>本项目</w:t>
            </w:r>
            <w:r>
              <w:rPr>
                <w:rFonts w:hint="eastAsia" w:ascii="宋体" w:hAnsi="宋体" w:eastAsia="宋体" w:cs="宋体"/>
                <w:szCs w:val="21"/>
                <w:lang w:val="zh-CN"/>
              </w:rPr>
              <w:t>系统的等保测评</w:t>
            </w:r>
            <w:r>
              <w:rPr>
                <w:rFonts w:hint="eastAsia" w:ascii="宋体" w:hAnsi="宋体" w:eastAsia="宋体" w:cs="宋体"/>
                <w:szCs w:val="21"/>
                <w:lang w:val="en-US" w:eastAsia="zh-CN"/>
              </w:rPr>
              <w:t>服务方案（包括总体方案、测评内容服务方案、</w:t>
            </w:r>
            <w:r>
              <w:rPr>
                <w:rFonts w:hint="eastAsia" w:ascii="宋体" w:hAnsi="宋体" w:eastAsia="宋体" w:cs="宋体"/>
                <w:szCs w:val="21"/>
                <w:lang w:val="zh-CN"/>
              </w:rPr>
              <w:t>测评系统的安全方案、测评报告情况、整改建议方案、安全漏洞扫描、渗透测试服务方案</w:t>
            </w:r>
            <w:r>
              <w:rPr>
                <w:rFonts w:hint="eastAsia" w:ascii="宋体" w:hAnsi="宋体" w:eastAsia="宋体" w:cs="宋体"/>
                <w:szCs w:val="21"/>
                <w:lang w:val="en-US" w:eastAsia="zh-CN"/>
              </w:rPr>
              <w:t>等）</w:t>
            </w:r>
            <w:r>
              <w:rPr>
                <w:rFonts w:hint="eastAsia" w:ascii="宋体" w:hAnsi="宋体" w:eastAsia="宋体" w:cs="宋体"/>
                <w:szCs w:val="21"/>
                <w:lang w:val="zh-CN"/>
              </w:rPr>
              <w:t>0-</w:t>
            </w:r>
            <w:r>
              <w:rPr>
                <w:rFonts w:hint="eastAsia" w:ascii="宋体" w:hAnsi="宋体" w:cs="宋体"/>
                <w:szCs w:val="21"/>
                <w:lang w:val="en-US" w:eastAsia="zh-CN"/>
              </w:rPr>
              <w:t>4</w:t>
            </w:r>
            <w:r>
              <w:rPr>
                <w:rFonts w:hint="eastAsia" w:ascii="宋体" w:hAnsi="宋体" w:eastAsia="宋体" w:cs="宋体"/>
                <w:szCs w:val="21"/>
                <w:lang w:val="zh-CN"/>
              </w:rPr>
              <w:t>分（评分范围：4，3，2，1，0）</w:t>
            </w:r>
          </w:p>
        </w:tc>
        <w:tc>
          <w:tcPr>
            <w:tcW w:w="626" w:type="pct"/>
            <w:shd w:val="clear" w:color="auto" w:fill="auto"/>
            <w:noWrap w:val="0"/>
            <w:vAlign w:val="center"/>
          </w:tcPr>
          <w:p w14:paraId="04E0FBBC">
            <w:pPr>
              <w:bidi w:val="0"/>
              <w:ind w:left="0" w:leftChars="0" w:firstLine="0" w:firstLineChars="0"/>
              <w:jc w:val="center"/>
              <w:rPr>
                <w:rFonts w:hint="eastAsia" w:ascii="宋体" w:hAnsi="宋体" w:eastAsia="宋体" w:cs="宋体"/>
                <w:lang w:eastAsia="zh-CN"/>
              </w:rPr>
            </w:pPr>
            <w:r>
              <w:rPr>
                <w:rFonts w:hint="eastAsia" w:ascii="宋体" w:hAnsi="宋体" w:eastAsia="宋体" w:cs="宋体"/>
                <w:lang w:val="en-US" w:eastAsia="zh-CN"/>
              </w:rPr>
              <w:t>0-</w:t>
            </w:r>
            <w:r>
              <w:rPr>
                <w:rFonts w:hint="eastAsia" w:ascii="宋体" w:hAnsi="宋体" w:cs="宋体"/>
                <w:lang w:val="en-US" w:eastAsia="zh-CN"/>
              </w:rPr>
              <w:t>4</w:t>
            </w:r>
            <w:r>
              <w:rPr>
                <w:rFonts w:hint="eastAsia" w:ascii="宋体" w:hAnsi="宋体" w:eastAsia="宋体" w:cs="宋体"/>
                <w:lang w:val="en-US" w:eastAsia="zh-CN"/>
              </w:rPr>
              <w:t>分</w:t>
            </w:r>
          </w:p>
        </w:tc>
        <w:tc>
          <w:tcPr>
            <w:tcW w:w="641" w:type="pct"/>
            <w:shd w:val="clear" w:color="auto" w:fill="auto"/>
            <w:noWrap w:val="0"/>
            <w:vAlign w:val="center"/>
          </w:tcPr>
          <w:p w14:paraId="6132EF1B">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主观分</w:t>
            </w:r>
          </w:p>
        </w:tc>
      </w:tr>
      <w:tr w14:paraId="5FE0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noWrap w:val="0"/>
            <w:vAlign w:val="center"/>
          </w:tcPr>
          <w:p w14:paraId="5FABE378">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7</w:t>
            </w:r>
          </w:p>
        </w:tc>
        <w:tc>
          <w:tcPr>
            <w:tcW w:w="592" w:type="pct"/>
            <w:shd w:val="clear" w:color="auto" w:fill="auto"/>
            <w:noWrap w:val="0"/>
            <w:vAlign w:val="center"/>
          </w:tcPr>
          <w:p w14:paraId="3729D974">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18" w:type="pct"/>
            <w:noWrap w:val="0"/>
            <w:vAlign w:val="center"/>
          </w:tcPr>
          <w:p w14:paraId="790432F2">
            <w:pPr>
              <w:bidi w:val="0"/>
              <w:ind w:left="0" w:leftChars="0" w:firstLine="0" w:firstLineChars="0"/>
              <w:jc w:val="left"/>
              <w:rPr>
                <w:rFonts w:hint="default" w:ascii="宋体" w:hAnsi="宋体" w:eastAsia="宋体" w:cs="宋体"/>
                <w:szCs w:val="21"/>
                <w:lang w:val="en-US" w:eastAsia="zh-CN"/>
              </w:rPr>
            </w:pPr>
            <w:r>
              <w:rPr>
                <w:rFonts w:hint="eastAsia" w:eastAsia="宋体"/>
              </w:rPr>
              <w:t>信息设备运维</w:t>
            </w:r>
            <w:r>
              <w:rPr>
                <w:rFonts w:hint="eastAsia" w:ascii="宋体" w:hAnsi="宋体" w:cs="宋体"/>
                <w:szCs w:val="21"/>
                <w:lang w:val="en-US" w:eastAsia="zh-CN"/>
              </w:rPr>
              <w:t>服务方案</w:t>
            </w:r>
            <w:r>
              <w:rPr>
                <w:rFonts w:hint="eastAsia" w:ascii="宋体" w:hAnsi="宋体" w:eastAsia="宋体" w:cs="宋体"/>
                <w:szCs w:val="21"/>
                <w:lang w:val="zh-CN"/>
              </w:rPr>
              <w:t>0-</w:t>
            </w:r>
            <w:r>
              <w:rPr>
                <w:rFonts w:hint="eastAsia" w:ascii="宋体" w:hAnsi="宋体" w:cs="宋体"/>
                <w:szCs w:val="21"/>
                <w:lang w:val="en-US" w:eastAsia="zh-CN"/>
              </w:rPr>
              <w:t>4</w:t>
            </w:r>
            <w:r>
              <w:rPr>
                <w:rFonts w:hint="eastAsia" w:ascii="宋体" w:hAnsi="宋体" w:eastAsia="宋体" w:cs="宋体"/>
                <w:szCs w:val="21"/>
                <w:lang w:val="zh-CN"/>
              </w:rPr>
              <w:t>分（评分范围：4，3，2，1，0）</w:t>
            </w:r>
          </w:p>
        </w:tc>
        <w:tc>
          <w:tcPr>
            <w:tcW w:w="626" w:type="pct"/>
            <w:shd w:val="clear" w:color="auto" w:fill="auto"/>
            <w:noWrap w:val="0"/>
            <w:vAlign w:val="center"/>
          </w:tcPr>
          <w:p w14:paraId="4E214366">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w:t>
            </w:r>
            <w:r>
              <w:rPr>
                <w:rFonts w:hint="eastAsia" w:ascii="宋体" w:hAnsi="宋体" w:cs="宋体"/>
                <w:lang w:val="en-US" w:eastAsia="zh-CN"/>
              </w:rPr>
              <w:t>4</w:t>
            </w:r>
            <w:r>
              <w:rPr>
                <w:rFonts w:hint="eastAsia" w:ascii="宋体" w:hAnsi="宋体" w:eastAsia="宋体" w:cs="宋体"/>
                <w:lang w:val="en-US" w:eastAsia="zh-CN"/>
              </w:rPr>
              <w:t>分</w:t>
            </w:r>
          </w:p>
        </w:tc>
        <w:tc>
          <w:tcPr>
            <w:tcW w:w="641" w:type="pct"/>
            <w:shd w:val="clear" w:color="auto" w:fill="auto"/>
            <w:noWrap w:val="0"/>
            <w:vAlign w:val="center"/>
          </w:tcPr>
          <w:p w14:paraId="6E0C8438">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主观分</w:t>
            </w:r>
          </w:p>
        </w:tc>
      </w:tr>
      <w:tr w14:paraId="3CF0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noWrap w:val="0"/>
            <w:vAlign w:val="center"/>
          </w:tcPr>
          <w:p w14:paraId="44845430">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8</w:t>
            </w:r>
          </w:p>
        </w:tc>
        <w:tc>
          <w:tcPr>
            <w:tcW w:w="592" w:type="pct"/>
            <w:shd w:val="clear" w:color="auto" w:fill="auto"/>
            <w:noWrap w:val="0"/>
            <w:vAlign w:val="center"/>
          </w:tcPr>
          <w:p w14:paraId="793CFE6E">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18" w:type="pct"/>
            <w:noWrap w:val="0"/>
            <w:vAlign w:val="center"/>
          </w:tcPr>
          <w:p w14:paraId="40790905">
            <w:pPr>
              <w:bidi w:val="0"/>
              <w:ind w:left="0" w:leftChars="0" w:firstLine="0" w:firstLineChars="0"/>
              <w:jc w:val="both"/>
              <w:rPr>
                <w:rFonts w:hint="default" w:eastAsia="宋体"/>
                <w:lang w:val="en-US" w:eastAsia="zh-CN"/>
              </w:rPr>
            </w:pPr>
            <w:r>
              <w:rPr>
                <w:rFonts w:hint="eastAsia" w:ascii="宋体" w:hAnsi="宋体" w:cs="宋体"/>
                <w:sz w:val="24"/>
                <w:lang w:val="en-US" w:eastAsia="zh-CN"/>
              </w:rPr>
              <w:t>拟投入本项目的软硬件情况，提供</w:t>
            </w:r>
            <w:r>
              <w:rPr>
                <w:rFonts w:hint="eastAsia" w:ascii="宋体" w:hAnsi="宋体" w:eastAsia="宋体" w:cs="宋体"/>
                <w:szCs w:val="21"/>
                <w:lang w:val="zh-CN"/>
              </w:rPr>
              <w:t>软硬件型号、功能和性能描述、</w:t>
            </w:r>
            <w:r>
              <w:rPr>
                <w:rFonts w:hint="eastAsia" w:ascii="宋体" w:hAnsi="宋体" w:eastAsia="宋体" w:cs="宋体"/>
                <w:szCs w:val="21"/>
                <w:lang w:val="en-US" w:eastAsia="zh-CN"/>
              </w:rPr>
              <w:t>适用情形等</w:t>
            </w:r>
            <w:r>
              <w:rPr>
                <w:rFonts w:hint="eastAsia" w:ascii="宋体" w:hAnsi="宋体" w:eastAsia="宋体" w:cs="宋体"/>
                <w:szCs w:val="21"/>
                <w:lang w:val="zh-CN"/>
              </w:rPr>
              <w:t>0-</w:t>
            </w:r>
            <w:r>
              <w:rPr>
                <w:rFonts w:hint="eastAsia" w:ascii="宋体" w:hAnsi="宋体" w:cs="宋体"/>
                <w:szCs w:val="21"/>
                <w:lang w:val="en-US" w:eastAsia="zh-CN"/>
              </w:rPr>
              <w:t>3</w:t>
            </w:r>
            <w:r>
              <w:rPr>
                <w:rFonts w:hint="eastAsia" w:ascii="宋体" w:hAnsi="宋体" w:eastAsia="宋体" w:cs="宋体"/>
                <w:szCs w:val="21"/>
                <w:lang w:val="zh-CN"/>
              </w:rPr>
              <w:t>分（评分范围：3，2，1，0）</w:t>
            </w:r>
          </w:p>
        </w:tc>
        <w:tc>
          <w:tcPr>
            <w:tcW w:w="626" w:type="pct"/>
            <w:shd w:val="clear" w:color="auto" w:fill="auto"/>
            <w:noWrap w:val="0"/>
            <w:vAlign w:val="center"/>
          </w:tcPr>
          <w:p w14:paraId="6B9C7DD5">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0-</w:t>
            </w:r>
            <w:r>
              <w:rPr>
                <w:rFonts w:hint="eastAsia" w:ascii="宋体" w:hAnsi="宋体" w:cs="宋体"/>
                <w:lang w:val="en-US" w:eastAsia="zh-CN"/>
              </w:rPr>
              <w:t>3</w:t>
            </w:r>
            <w:r>
              <w:rPr>
                <w:rFonts w:hint="eastAsia" w:ascii="宋体" w:hAnsi="宋体" w:eastAsia="宋体" w:cs="宋体"/>
                <w:lang w:val="en-US" w:eastAsia="zh-CN"/>
              </w:rPr>
              <w:t>分</w:t>
            </w:r>
          </w:p>
        </w:tc>
        <w:tc>
          <w:tcPr>
            <w:tcW w:w="641" w:type="pct"/>
            <w:shd w:val="clear" w:color="auto" w:fill="auto"/>
            <w:noWrap w:val="0"/>
            <w:vAlign w:val="center"/>
          </w:tcPr>
          <w:p w14:paraId="78F8893A">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主观分</w:t>
            </w:r>
          </w:p>
        </w:tc>
      </w:tr>
      <w:tr w14:paraId="0375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noWrap w:val="0"/>
            <w:vAlign w:val="center"/>
          </w:tcPr>
          <w:p w14:paraId="75164126">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9</w:t>
            </w:r>
          </w:p>
        </w:tc>
        <w:tc>
          <w:tcPr>
            <w:tcW w:w="592" w:type="pct"/>
            <w:shd w:val="clear" w:color="auto" w:fill="auto"/>
            <w:noWrap w:val="0"/>
            <w:vAlign w:val="center"/>
          </w:tcPr>
          <w:p w14:paraId="2BF01D61">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18" w:type="pct"/>
            <w:noWrap w:val="0"/>
            <w:vAlign w:val="center"/>
          </w:tcPr>
          <w:p w14:paraId="35EF0B1F">
            <w:pPr>
              <w:bidi w:val="0"/>
              <w:ind w:left="0" w:leftChars="0" w:firstLine="0" w:firstLineChars="0"/>
              <w:jc w:val="both"/>
              <w:rPr>
                <w:rFonts w:hint="default" w:ascii="宋体" w:hAnsi="宋体" w:cs="宋体"/>
                <w:sz w:val="24"/>
                <w:lang w:val="en-US" w:eastAsia="zh-CN"/>
              </w:rPr>
            </w:pPr>
            <w:r>
              <w:rPr>
                <w:rFonts w:hint="eastAsia" w:ascii="宋体" w:hAnsi="宋体" w:eastAsia="宋体" w:cs="宋体"/>
                <w:szCs w:val="21"/>
                <w:lang w:val="zh-CN"/>
              </w:rPr>
              <w:t>项目组织实施方案（包括但不限于安装调试、实施进度安排及进度控制计划、协助验收计划等）0-</w:t>
            </w:r>
            <w:r>
              <w:rPr>
                <w:rFonts w:hint="eastAsia" w:ascii="宋体" w:hAnsi="宋体" w:cs="宋体"/>
                <w:szCs w:val="21"/>
                <w:lang w:val="en-US" w:eastAsia="zh-CN"/>
              </w:rPr>
              <w:t>4</w:t>
            </w:r>
            <w:r>
              <w:rPr>
                <w:rFonts w:hint="eastAsia" w:ascii="宋体" w:hAnsi="宋体" w:eastAsia="宋体" w:cs="宋体"/>
                <w:szCs w:val="21"/>
                <w:lang w:val="zh-CN"/>
              </w:rPr>
              <w:t>分（评分范围：4，3，2，1，0）</w:t>
            </w:r>
          </w:p>
        </w:tc>
        <w:tc>
          <w:tcPr>
            <w:tcW w:w="626" w:type="pct"/>
            <w:shd w:val="clear" w:color="auto" w:fill="auto"/>
            <w:noWrap w:val="0"/>
            <w:vAlign w:val="center"/>
          </w:tcPr>
          <w:p w14:paraId="21E89BA5">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w:t>
            </w:r>
            <w:r>
              <w:rPr>
                <w:rFonts w:hint="eastAsia" w:ascii="宋体" w:hAnsi="宋体" w:cs="宋体"/>
                <w:lang w:val="en-US" w:eastAsia="zh-CN"/>
              </w:rPr>
              <w:t>4</w:t>
            </w:r>
            <w:r>
              <w:rPr>
                <w:rFonts w:hint="eastAsia" w:ascii="宋体" w:hAnsi="宋体" w:eastAsia="宋体" w:cs="宋体"/>
                <w:lang w:val="en-US" w:eastAsia="zh-CN"/>
              </w:rPr>
              <w:t>分</w:t>
            </w:r>
          </w:p>
        </w:tc>
        <w:tc>
          <w:tcPr>
            <w:tcW w:w="641" w:type="pct"/>
            <w:shd w:val="clear" w:color="auto" w:fill="auto"/>
            <w:noWrap w:val="0"/>
            <w:vAlign w:val="center"/>
          </w:tcPr>
          <w:p w14:paraId="5BC4ACBA">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主观分</w:t>
            </w:r>
          </w:p>
        </w:tc>
      </w:tr>
      <w:tr w14:paraId="61BE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noWrap w:val="0"/>
            <w:vAlign w:val="center"/>
          </w:tcPr>
          <w:p w14:paraId="724E92CC">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10</w:t>
            </w:r>
          </w:p>
        </w:tc>
        <w:tc>
          <w:tcPr>
            <w:tcW w:w="592" w:type="pct"/>
            <w:shd w:val="clear" w:color="auto" w:fill="auto"/>
            <w:noWrap w:val="0"/>
            <w:vAlign w:val="center"/>
          </w:tcPr>
          <w:p w14:paraId="73EF0276">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18" w:type="pct"/>
            <w:noWrap w:val="0"/>
            <w:vAlign w:val="center"/>
          </w:tcPr>
          <w:p w14:paraId="46369C10">
            <w:pPr>
              <w:bidi w:val="0"/>
              <w:ind w:left="0" w:leftChars="0" w:firstLine="0" w:firstLineChars="0"/>
              <w:jc w:val="both"/>
              <w:rPr>
                <w:rFonts w:hint="default" w:ascii="宋体" w:hAnsi="宋体" w:cs="宋体"/>
                <w:sz w:val="24"/>
                <w:lang w:val="en-US" w:eastAsia="zh-CN"/>
              </w:rPr>
            </w:pPr>
            <w:r>
              <w:rPr>
                <w:rFonts w:hint="eastAsia" w:ascii="宋体" w:hAnsi="宋体" w:eastAsia="宋体" w:cs="宋体"/>
                <w:szCs w:val="21"/>
                <w:lang w:val="zh-CN"/>
              </w:rPr>
              <w:t>培训方案、具体承诺、实施计划安排0-</w:t>
            </w:r>
            <w:r>
              <w:rPr>
                <w:rFonts w:hint="eastAsia" w:ascii="宋体" w:hAnsi="宋体" w:cs="宋体"/>
                <w:szCs w:val="21"/>
                <w:lang w:val="en-US" w:eastAsia="zh-CN"/>
              </w:rPr>
              <w:t>3</w:t>
            </w:r>
            <w:r>
              <w:rPr>
                <w:rFonts w:hint="eastAsia" w:ascii="宋体" w:hAnsi="宋体" w:eastAsia="宋体" w:cs="宋体"/>
                <w:szCs w:val="21"/>
                <w:lang w:val="zh-CN"/>
              </w:rPr>
              <w:t>分（评分范围：3，2，1，0）</w:t>
            </w:r>
          </w:p>
        </w:tc>
        <w:tc>
          <w:tcPr>
            <w:tcW w:w="626" w:type="pct"/>
            <w:shd w:val="clear" w:color="auto" w:fill="auto"/>
            <w:noWrap w:val="0"/>
            <w:vAlign w:val="center"/>
          </w:tcPr>
          <w:p w14:paraId="550615DF">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w:t>
            </w:r>
            <w:r>
              <w:rPr>
                <w:rFonts w:hint="eastAsia" w:ascii="宋体" w:hAnsi="宋体" w:cs="宋体"/>
                <w:lang w:val="en-US" w:eastAsia="zh-CN"/>
              </w:rPr>
              <w:t>3</w:t>
            </w:r>
            <w:r>
              <w:rPr>
                <w:rFonts w:hint="eastAsia" w:ascii="宋体" w:hAnsi="宋体" w:eastAsia="宋体" w:cs="宋体"/>
                <w:lang w:val="en-US" w:eastAsia="zh-CN"/>
              </w:rPr>
              <w:t>分</w:t>
            </w:r>
          </w:p>
        </w:tc>
        <w:tc>
          <w:tcPr>
            <w:tcW w:w="641" w:type="pct"/>
            <w:shd w:val="clear" w:color="auto" w:fill="auto"/>
            <w:noWrap w:val="0"/>
            <w:vAlign w:val="center"/>
          </w:tcPr>
          <w:p w14:paraId="10FE6AE6">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主观分</w:t>
            </w:r>
          </w:p>
        </w:tc>
      </w:tr>
      <w:tr w14:paraId="6DDE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noWrap w:val="0"/>
            <w:vAlign w:val="center"/>
          </w:tcPr>
          <w:p w14:paraId="29427578">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11</w:t>
            </w:r>
          </w:p>
        </w:tc>
        <w:tc>
          <w:tcPr>
            <w:tcW w:w="592" w:type="pct"/>
            <w:shd w:val="clear" w:color="auto" w:fill="auto"/>
            <w:noWrap w:val="0"/>
            <w:vAlign w:val="center"/>
          </w:tcPr>
          <w:p w14:paraId="20D9653A">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18" w:type="pct"/>
            <w:shd w:val="clear" w:color="auto" w:fill="auto"/>
            <w:noWrap w:val="0"/>
            <w:vAlign w:val="center"/>
          </w:tcPr>
          <w:p w14:paraId="7435A35B">
            <w:pPr>
              <w:ind w:firstLine="480" w:firstLineChars="200"/>
              <w:rPr>
                <w:rFonts w:hint="default" w:ascii="宋体" w:hAnsi="宋体" w:eastAsia="宋体" w:cs="宋体"/>
                <w:kern w:val="2"/>
                <w:sz w:val="24"/>
                <w:szCs w:val="21"/>
                <w:lang w:val="en-US" w:eastAsia="zh-CN" w:bidi="ar-SA"/>
              </w:rPr>
            </w:pPr>
            <w:r>
              <w:rPr>
                <w:rFonts w:hint="eastAsia" w:ascii="宋体" w:hAnsi="宋体" w:eastAsia="宋体" w:cs="宋体"/>
                <w:szCs w:val="21"/>
                <w:lang w:val="zh-CN"/>
              </w:rPr>
              <w:t>项目质量保障措施方案0-5分（评分范围：5，4，3，2，1，0）</w:t>
            </w:r>
          </w:p>
        </w:tc>
        <w:tc>
          <w:tcPr>
            <w:tcW w:w="626" w:type="pct"/>
            <w:shd w:val="clear" w:color="auto" w:fill="auto"/>
            <w:noWrap w:val="0"/>
            <w:vAlign w:val="center"/>
          </w:tcPr>
          <w:p w14:paraId="0FC24EC5">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Cs w:val="24"/>
                <w:lang w:val="en-US"/>
              </w:rPr>
              <w:t>0-5分</w:t>
            </w:r>
          </w:p>
        </w:tc>
        <w:tc>
          <w:tcPr>
            <w:tcW w:w="641" w:type="pct"/>
            <w:shd w:val="clear" w:color="auto" w:fill="auto"/>
            <w:noWrap w:val="0"/>
            <w:vAlign w:val="center"/>
          </w:tcPr>
          <w:p w14:paraId="6CC95034">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Cs w:val="24"/>
                <w:lang w:val="en-US"/>
              </w:rPr>
              <w:t>主观分</w:t>
            </w:r>
          </w:p>
        </w:tc>
      </w:tr>
      <w:tr w14:paraId="2BB4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noWrap w:val="0"/>
            <w:vAlign w:val="center"/>
          </w:tcPr>
          <w:p w14:paraId="0257DD06">
            <w:pPr>
              <w:bidi w:val="0"/>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lang w:val="en-US" w:eastAsia="zh-CN"/>
              </w:rPr>
              <w:t>12</w:t>
            </w:r>
          </w:p>
        </w:tc>
        <w:tc>
          <w:tcPr>
            <w:tcW w:w="592" w:type="pct"/>
            <w:shd w:val="clear" w:color="auto" w:fill="auto"/>
            <w:noWrap w:val="0"/>
            <w:vAlign w:val="center"/>
          </w:tcPr>
          <w:p w14:paraId="204F61EE">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eastAsia="zh-CN"/>
              </w:rPr>
              <w:t>技术</w:t>
            </w:r>
          </w:p>
        </w:tc>
        <w:tc>
          <w:tcPr>
            <w:tcW w:w="2718" w:type="pct"/>
            <w:shd w:val="clear" w:color="auto" w:fill="auto"/>
            <w:noWrap w:val="0"/>
            <w:vAlign w:val="center"/>
          </w:tcPr>
          <w:p w14:paraId="25F0014C">
            <w:pPr>
              <w:rPr>
                <w:rFonts w:hint="eastAsia" w:ascii="宋体" w:hAnsi="宋体" w:eastAsia="宋体" w:cs="宋体"/>
                <w:szCs w:val="21"/>
                <w:lang w:val="zh-CN"/>
              </w:rPr>
            </w:pPr>
            <w:r>
              <w:rPr>
                <w:rFonts w:hint="eastAsia" w:ascii="宋体" w:hAnsi="宋体" w:eastAsia="宋体" w:cs="宋体"/>
                <w:szCs w:val="21"/>
                <w:lang w:val="zh-CN"/>
              </w:rPr>
              <w:t>售后服务方案：</w:t>
            </w:r>
          </w:p>
          <w:p w14:paraId="0E01AA04">
            <w:pPr>
              <w:rPr>
                <w:rFonts w:hint="eastAsia" w:ascii="宋体" w:hAnsi="宋体" w:eastAsia="宋体" w:cs="宋体"/>
                <w:szCs w:val="21"/>
                <w:lang w:val="zh-CN"/>
              </w:rPr>
            </w:pPr>
            <w:r>
              <w:rPr>
                <w:rFonts w:hint="eastAsia" w:ascii="宋体" w:hAnsi="宋体" w:eastAsia="宋体" w:cs="宋体"/>
                <w:szCs w:val="21"/>
                <w:lang w:val="zh-CN"/>
              </w:rPr>
              <w:t>1、售后服务承诺、服务响应时间、服务承诺落实的保障措施0-</w:t>
            </w:r>
            <w:r>
              <w:rPr>
                <w:rFonts w:hint="eastAsia" w:ascii="宋体" w:hAnsi="宋体" w:cs="宋体"/>
                <w:szCs w:val="21"/>
                <w:lang w:val="en-US" w:eastAsia="zh-CN"/>
              </w:rPr>
              <w:t>3</w:t>
            </w:r>
            <w:r>
              <w:rPr>
                <w:rFonts w:hint="eastAsia" w:ascii="宋体" w:hAnsi="宋体" w:eastAsia="宋体" w:cs="宋体"/>
                <w:szCs w:val="21"/>
                <w:lang w:val="zh-CN"/>
              </w:rPr>
              <w:t>分（评分范围：3，2，1，0）</w:t>
            </w:r>
          </w:p>
          <w:p w14:paraId="00B6C90C">
            <w:pPr>
              <w:ind w:firstLine="480" w:firstLineChars="200"/>
              <w:rPr>
                <w:rFonts w:hint="eastAsia" w:ascii="宋体" w:hAnsi="宋体" w:eastAsia="宋体" w:cs="宋体"/>
                <w:szCs w:val="21"/>
                <w:lang w:val="zh-CN"/>
              </w:rPr>
            </w:pPr>
            <w:r>
              <w:rPr>
                <w:rFonts w:hint="eastAsia" w:ascii="宋体" w:hAnsi="宋体" w:eastAsia="宋体" w:cs="宋体"/>
                <w:szCs w:val="21"/>
                <w:lang w:val="zh-CN"/>
              </w:rPr>
              <w:t>2、对用户系统故障的响应、响应时间、处理、突发事件的应急措施等情况0-</w:t>
            </w:r>
            <w:r>
              <w:rPr>
                <w:rFonts w:hint="eastAsia" w:ascii="宋体" w:hAnsi="宋体" w:cs="宋体"/>
                <w:szCs w:val="21"/>
                <w:lang w:val="en-US" w:eastAsia="zh-CN"/>
              </w:rPr>
              <w:t>3</w:t>
            </w:r>
            <w:r>
              <w:rPr>
                <w:rFonts w:hint="eastAsia" w:ascii="宋体" w:hAnsi="宋体" w:eastAsia="宋体" w:cs="宋体"/>
                <w:szCs w:val="21"/>
                <w:lang w:val="zh-CN"/>
              </w:rPr>
              <w:t>分（评分范围：3，2，1，0）</w:t>
            </w:r>
          </w:p>
        </w:tc>
        <w:tc>
          <w:tcPr>
            <w:tcW w:w="626" w:type="pct"/>
            <w:shd w:val="clear" w:color="auto" w:fill="auto"/>
            <w:noWrap w:val="0"/>
            <w:vAlign w:val="center"/>
          </w:tcPr>
          <w:p w14:paraId="5CDAC182">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Cs w:val="24"/>
                <w:lang w:val="en-US"/>
              </w:rPr>
              <w:t>0-</w:t>
            </w:r>
            <w:r>
              <w:rPr>
                <w:rFonts w:hint="eastAsia" w:ascii="宋体" w:hAnsi="宋体" w:cs="宋体"/>
                <w:szCs w:val="24"/>
                <w:lang w:val="en-US" w:eastAsia="zh-CN"/>
              </w:rPr>
              <w:t>6</w:t>
            </w:r>
            <w:r>
              <w:rPr>
                <w:rFonts w:hint="eastAsia" w:ascii="宋体" w:hAnsi="宋体" w:eastAsia="宋体" w:cs="宋体"/>
                <w:szCs w:val="24"/>
                <w:lang w:val="en-US"/>
              </w:rPr>
              <w:t>分</w:t>
            </w:r>
          </w:p>
        </w:tc>
        <w:tc>
          <w:tcPr>
            <w:tcW w:w="641" w:type="pct"/>
            <w:shd w:val="clear" w:color="auto" w:fill="auto"/>
            <w:noWrap w:val="0"/>
            <w:vAlign w:val="center"/>
          </w:tcPr>
          <w:p w14:paraId="4563337F">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Cs w:val="24"/>
                <w:lang w:val="en-US"/>
              </w:rPr>
              <w:t>主观分</w:t>
            </w:r>
          </w:p>
        </w:tc>
      </w:tr>
      <w:tr w14:paraId="52C7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noWrap w:val="0"/>
            <w:vAlign w:val="center"/>
          </w:tcPr>
          <w:p w14:paraId="1F59A709">
            <w:pPr>
              <w:bidi w:val="0"/>
              <w:ind w:left="0" w:leftChars="0" w:firstLine="0" w:firstLineChars="0"/>
              <w:jc w:val="center"/>
              <w:rPr>
                <w:rFonts w:hint="default"/>
                <w:lang w:val="en-US" w:eastAsia="zh-CN"/>
              </w:rPr>
            </w:pPr>
            <w:r>
              <w:rPr>
                <w:rFonts w:hint="eastAsia"/>
                <w:lang w:val="en-US" w:eastAsia="zh-CN"/>
              </w:rPr>
              <w:t>13</w:t>
            </w:r>
          </w:p>
        </w:tc>
        <w:tc>
          <w:tcPr>
            <w:tcW w:w="592" w:type="pct"/>
            <w:noWrap w:val="0"/>
            <w:vAlign w:val="center"/>
          </w:tcPr>
          <w:p w14:paraId="3505A589">
            <w:pPr>
              <w:bidi w:val="0"/>
              <w:ind w:left="0" w:leftChars="0" w:firstLine="0" w:firstLineChars="0"/>
              <w:jc w:val="center"/>
              <w:rPr>
                <w:rFonts w:hint="eastAsia"/>
                <w:lang w:eastAsia="zh-CN"/>
              </w:rPr>
            </w:pPr>
            <w:r>
              <w:rPr>
                <w:rFonts w:hint="eastAsia"/>
                <w:lang w:eastAsia="zh-CN"/>
              </w:rPr>
              <w:t>技术</w:t>
            </w:r>
          </w:p>
        </w:tc>
        <w:tc>
          <w:tcPr>
            <w:tcW w:w="2718" w:type="pct"/>
            <w:shd w:val="clear" w:color="auto" w:fill="auto"/>
            <w:noWrap w:val="0"/>
            <w:vAlign w:val="center"/>
          </w:tcPr>
          <w:p w14:paraId="40A74553">
            <w:pPr>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拟派项目团队情况：技术能力、类似经验、岗位分工等</w:t>
            </w:r>
            <w:r>
              <w:rPr>
                <w:rFonts w:hint="eastAsia" w:ascii="宋体" w:hAnsi="宋体" w:eastAsia="宋体" w:cs="宋体"/>
                <w:szCs w:val="21"/>
                <w:lang w:val="zh-CN"/>
              </w:rPr>
              <w:t>0-5分（评分范围：5，4，3，2，1，0）</w:t>
            </w:r>
          </w:p>
        </w:tc>
        <w:tc>
          <w:tcPr>
            <w:tcW w:w="626" w:type="pct"/>
            <w:shd w:val="clear" w:color="auto" w:fill="auto"/>
            <w:noWrap w:val="0"/>
            <w:vAlign w:val="center"/>
          </w:tcPr>
          <w:p w14:paraId="5BFF06FA">
            <w:pPr>
              <w:bidi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w:t>
            </w:r>
            <w:r>
              <w:rPr>
                <w:rFonts w:hint="eastAsia" w:ascii="宋体" w:hAnsi="宋体" w:cs="宋体"/>
                <w:lang w:val="en-US" w:eastAsia="zh-CN"/>
              </w:rPr>
              <w:t>5</w:t>
            </w:r>
            <w:r>
              <w:rPr>
                <w:rFonts w:hint="eastAsia" w:ascii="宋体" w:hAnsi="宋体" w:eastAsia="宋体" w:cs="宋体"/>
                <w:lang w:val="en-US" w:eastAsia="zh-CN"/>
              </w:rPr>
              <w:t>分</w:t>
            </w:r>
          </w:p>
        </w:tc>
        <w:tc>
          <w:tcPr>
            <w:tcW w:w="641" w:type="pct"/>
            <w:shd w:val="clear" w:color="auto" w:fill="auto"/>
            <w:noWrap w:val="0"/>
            <w:vAlign w:val="center"/>
          </w:tcPr>
          <w:p w14:paraId="790D21E0">
            <w:pPr>
              <w:bidi w:val="0"/>
              <w:ind w:left="0" w:leftChars="0" w:firstLine="0" w:firstLineChars="0"/>
              <w:jc w:val="center"/>
              <w:rPr>
                <w:rFonts w:hint="eastAsia" w:ascii="Times New Roman" w:hAnsi="Times New Roman" w:eastAsia="宋体" w:cs="Times New Roman"/>
                <w:kern w:val="2"/>
                <w:sz w:val="24"/>
                <w:szCs w:val="24"/>
                <w:lang w:val="en-US" w:eastAsia="zh-CN" w:bidi="ar-SA"/>
              </w:rPr>
            </w:pPr>
            <w:r>
              <w:rPr>
                <w:rFonts w:hint="eastAsia"/>
                <w:lang w:val="en-US" w:eastAsia="zh-CN"/>
              </w:rPr>
              <w:t>主观分</w:t>
            </w:r>
          </w:p>
        </w:tc>
      </w:tr>
    </w:tbl>
    <w:p w14:paraId="4C283688">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1B6F01E9">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60557A24">
      <w:pPr>
        <w:pStyle w:val="5"/>
        <w:bidi w:val="0"/>
      </w:pPr>
      <w:bookmarkStart w:id="428" w:name="_Toc24517"/>
      <w:bookmarkStart w:id="429" w:name="_Toc12882"/>
      <w:r>
        <w:rPr>
          <w:rFonts w:hint="eastAsia"/>
        </w:rPr>
        <w:t>三、评标程序</w:t>
      </w:r>
      <w:bookmarkEnd w:id="428"/>
      <w:bookmarkEnd w:id="429"/>
    </w:p>
    <w:p w14:paraId="291883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72210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8DE5F2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7DC53C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A3FABFE">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0E1B500">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63CC679">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65971AB">
      <w:pPr>
        <w:pStyle w:val="135"/>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14:paraId="73D097D4">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9C703F0">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1E6023">
      <w:pPr>
        <w:spacing w:line="360" w:lineRule="auto"/>
        <w:ind w:firstLine="482" w:firstLineChars="200"/>
        <w:rPr>
          <w:rFonts w:ascii="宋体" w:hAnsi="宋体" w:cs="宋体"/>
          <w:color w:val="auto"/>
          <w:kern w:val="0"/>
          <w:sz w:val="24"/>
        </w:rPr>
      </w:pPr>
      <w:r>
        <w:rPr>
          <w:rFonts w:hint="eastAsia" w:ascii="宋体" w:hAnsi="宋体" w:cs="宋体"/>
          <w:b/>
          <w:kern w:val="0"/>
          <w:sz w:val="24"/>
        </w:rPr>
        <w:t>3.5排序与推荐</w:t>
      </w:r>
      <w:r>
        <w:rPr>
          <w:rFonts w:hint="eastAsia" w:ascii="宋体" w:hAnsi="宋体" w:cs="宋体"/>
          <w:b/>
          <w:color w:val="auto"/>
          <w:kern w:val="0"/>
          <w:sz w:val="24"/>
        </w:rPr>
        <w:t>。</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67541543">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w:t>
      </w:r>
      <w:r>
        <w:rPr>
          <w:rFonts w:hint="eastAsia" w:ascii="宋体" w:hAnsi="宋体" w:cs="宋体"/>
          <w:kern w:val="0"/>
          <w:sz w:val="24"/>
        </w:rPr>
        <w:t>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3D22EF">
      <w:pPr>
        <w:pStyle w:val="5"/>
        <w:bidi w:val="0"/>
        <w:rPr>
          <w:rFonts w:hint="eastAsia"/>
        </w:rPr>
      </w:pPr>
      <w:bookmarkStart w:id="430" w:name="_Toc22719"/>
      <w:bookmarkStart w:id="431" w:name="_Toc21677"/>
      <w:r>
        <w:rPr>
          <w:rFonts w:hint="eastAsia"/>
        </w:rPr>
        <w:t>四、评标中的其他事项</w:t>
      </w:r>
      <w:bookmarkEnd w:id="430"/>
      <w:bookmarkEnd w:id="431"/>
    </w:p>
    <w:p w14:paraId="4D8E1AEC">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0F1A9D">
      <w:pPr>
        <w:pStyle w:val="2"/>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178CBA2C">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14:paraId="174436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1E72CD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14:paraId="3CA1B1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sz w:val="24"/>
          <w:lang w:val="en-US" w:eastAsia="zh-CN"/>
        </w:rPr>
        <w:t>未</w:t>
      </w:r>
      <w:r>
        <w:rPr>
          <w:rFonts w:hint="eastAsia" w:ascii="宋体" w:hAnsi="宋体" w:eastAsia="宋体"/>
          <w:sz w:val="24"/>
          <w:lang w:val="en-US" w:eastAsia="zh-CN"/>
        </w:rPr>
        <w:t>提供有效的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14:paraId="43E6AA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653B2A53">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7EFBFF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14:paraId="69084291">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4F1CDD03">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14:paraId="503C7AF3">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1CADB9FF">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14:paraId="3E2F1B45">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14:paraId="537F54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）投标人</w:t>
      </w:r>
      <w:r>
        <w:rPr>
          <w:rFonts w:hint="eastAsia" w:ascii="宋体" w:hAnsi="宋体" w:eastAsia="宋体" w:cs="仿宋_GB2312"/>
          <w:sz w:val="24"/>
          <w:szCs w:val="21"/>
        </w:rPr>
        <w:t>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46462D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8</w:t>
      </w:r>
      <w:r>
        <w:rPr>
          <w:rFonts w:hint="eastAsia" w:ascii="宋体" w:hAnsi="宋体" w:cs="仿宋_GB2312"/>
          <w:sz w:val="24"/>
          <w:szCs w:val="21"/>
          <w:lang w:eastAsia="zh-CN"/>
        </w:rPr>
        <w:t>）</w:t>
      </w:r>
      <w:r>
        <w:rPr>
          <w:rFonts w:hint="eastAsia" w:ascii="宋体" w:hAnsi="宋体" w:eastAsia="宋体" w:cs="仿宋_GB2312"/>
          <w:sz w:val="24"/>
          <w:szCs w:val="21"/>
          <w:lang w:eastAsia="zh-CN"/>
        </w:rPr>
        <w:t>参与同一个采购包（标段）的供应商存在下列情形之一的，其投标（响应）文件无效：</w:t>
      </w:r>
    </w:p>
    <w:p w14:paraId="69BB4828">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1）</w:t>
      </w:r>
      <w:r>
        <w:rPr>
          <w:rFonts w:hint="eastAsia" w:ascii="宋体" w:hAnsi="宋体" w:eastAsia="宋体" w:cs="仿宋_GB2312"/>
          <w:sz w:val="24"/>
          <w:szCs w:val="21"/>
          <w:lang w:eastAsia="zh-CN"/>
        </w:rPr>
        <w:t>不同供应商的电子投标（响应）文件上传计算机的IP地址、网卡MAC地址、CPU序列号和硬盘序列号等硬件信息相同，且无法合理解释的；</w:t>
      </w:r>
    </w:p>
    <w:p w14:paraId="310387DA">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2）</w:t>
      </w:r>
      <w:r>
        <w:rPr>
          <w:rFonts w:hint="eastAsia" w:ascii="宋体" w:hAnsi="宋体" w:eastAsia="宋体" w:cs="仿宋_GB2312"/>
          <w:sz w:val="24"/>
          <w:szCs w:val="21"/>
          <w:lang w:eastAsia="zh-CN"/>
        </w:rPr>
        <w:t>上传的电子投标（响应）文件若出现使用本项目其他投标（响应）供应商的数字证书加密的，或者加盖本项目其他投标（响应）供应商的电子印章的；</w:t>
      </w:r>
    </w:p>
    <w:p w14:paraId="7260B031">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3）</w:t>
      </w:r>
      <w:r>
        <w:rPr>
          <w:rFonts w:hint="eastAsia" w:ascii="宋体" w:hAnsi="宋体" w:eastAsia="宋体" w:cs="仿宋_GB2312"/>
          <w:sz w:val="24"/>
          <w:szCs w:val="21"/>
          <w:lang w:eastAsia="zh-CN"/>
        </w:rPr>
        <w:t>不同供应商的投标（响应）文件的内容存在三处（含）以上错误一致，且无法合理解释的；</w:t>
      </w:r>
    </w:p>
    <w:p w14:paraId="4AEF56C6">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4）</w:t>
      </w:r>
      <w:r>
        <w:rPr>
          <w:rFonts w:hint="eastAsia" w:ascii="宋体" w:hAnsi="宋体" w:eastAsia="宋体" w:cs="仿宋_GB2312"/>
          <w:sz w:val="24"/>
          <w:szCs w:val="21"/>
          <w:lang w:eastAsia="zh-CN"/>
        </w:rPr>
        <w:t>不同供应商联系人为同一人或不同联系人的联系电话一致，且无法合理解释的；</w:t>
      </w:r>
    </w:p>
    <w:p w14:paraId="00556C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9</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14:paraId="2D36F0AB">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713F4F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14:paraId="2692B5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14:paraId="64DBD0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14:paraId="5261CA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14:paraId="74AC68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14:paraId="305D53AA">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14:paraId="28E50D86">
      <w:pPr>
        <w:pStyle w:val="2"/>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0350249">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14:paraId="78CA2892">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14:paraId="505D49DF">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14:paraId="284386ED">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14:paraId="15525AEA">
      <w:pPr>
        <w:pStyle w:val="2"/>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3767BC2">
      <w:pPr>
        <w:pStyle w:val="2"/>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DE8D897">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B4AC44">
      <w:pPr>
        <w:pStyle w:val="2"/>
        <w:snapToGrid w:val="0"/>
        <w:spacing w:line="360" w:lineRule="auto"/>
        <w:rPr>
          <w:rFonts w:cs="宋体"/>
        </w:rPr>
      </w:pPr>
      <w:r>
        <w:rPr>
          <w:rFonts w:hint="eastAsia" w:cs="宋体"/>
        </w:rPr>
        <w:t>7.1未确定中标供应商的，终止本次政府采购活动，重新开展政府采购活动。</w:t>
      </w:r>
    </w:p>
    <w:p w14:paraId="769907FE">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F370386">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78B1953">
      <w:pPr>
        <w:pStyle w:val="2"/>
        <w:snapToGrid w:val="0"/>
        <w:spacing w:line="360" w:lineRule="auto"/>
        <w:rPr>
          <w:rFonts w:cs="宋体"/>
        </w:rPr>
      </w:pPr>
      <w:r>
        <w:rPr>
          <w:rFonts w:hint="eastAsia" w:cs="宋体"/>
        </w:rPr>
        <w:t>7.4政府采购合同已经履行，给采购人、供应商造成损失的，由责任人承担赔偿责任。</w:t>
      </w:r>
    </w:p>
    <w:p w14:paraId="4984361F">
      <w:pPr>
        <w:pStyle w:val="2"/>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2" w:name="第五部分"/>
      <w:bookmarkStart w:id="433" w:name="_Toc86217003"/>
    </w:p>
    <w:p w14:paraId="0F4EF3E5">
      <w:pPr>
        <w:numPr>
          <w:ilvl w:val="0"/>
          <w:numId w:val="2"/>
        </w:numPr>
        <w:rPr>
          <w:rFonts w:ascii="宋体" w:hAnsi="宋体" w:eastAsia="宋体" w:cs="宋体"/>
          <w:b/>
          <w:bCs/>
          <w:color w:val="000000"/>
          <w:sz w:val="24"/>
          <w:szCs w:val="24"/>
        </w:rPr>
      </w:pPr>
      <w:r>
        <w:rPr>
          <w:rFonts w:ascii="宋体" w:hAnsi="宋体" w:eastAsia="宋体" w:cs="宋体"/>
          <w:b/>
          <w:bCs/>
          <w:color w:val="000000"/>
          <w:sz w:val="24"/>
          <w:szCs w:val="24"/>
        </w:rPr>
        <w:t xml:space="preserve">有下列情形之一的，视为投标人串通投标，其投标无效： </w:t>
      </w:r>
    </w:p>
    <w:p w14:paraId="5C0D6022">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8.1</w:t>
      </w:r>
      <w:r>
        <w:rPr>
          <w:rFonts w:ascii="宋体" w:hAnsi="宋体" w:eastAsia="宋体" w:cs="宋体"/>
          <w:b w:val="0"/>
          <w:bCs w:val="0"/>
          <w:color w:val="000000"/>
          <w:sz w:val="24"/>
          <w:szCs w:val="24"/>
        </w:rPr>
        <w:t xml:space="preserve">不同投标人的投标文件由同一单位或者个人编制； </w:t>
      </w:r>
    </w:p>
    <w:p w14:paraId="3D155FEE">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8.2</w:t>
      </w:r>
      <w:r>
        <w:rPr>
          <w:rFonts w:ascii="宋体" w:hAnsi="宋体" w:eastAsia="宋体" w:cs="宋体"/>
          <w:b w:val="0"/>
          <w:bCs w:val="0"/>
          <w:color w:val="000000"/>
          <w:sz w:val="24"/>
          <w:szCs w:val="24"/>
        </w:rPr>
        <w:t xml:space="preserve">不同投标人委托同一单位或者个人办理投标事宜； </w:t>
      </w:r>
    </w:p>
    <w:p w14:paraId="5B142848">
      <w:pPr>
        <w:numPr>
          <w:ilvl w:val="-1"/>
          <w:numId w:val="0"/>
        </w:numPr>
        <w:ind w:left="720" w:leftChars="300" w:firstLine="0" w:firstLineChars="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8.3</w:t>
      </w:r>
      <w:r>
        <w:rPr>
          <w:rFonts w:ascii="宋体" w:hAnsi="宋体" w:eastAsia="宋体" w:cs="宋体"/>
          <w:b w:val="0"/>
          <w:bCs w:val="0"/>
          <w:color w:val="000000"/>
          <w:sz w:val="24"/>
          <w:szCs w:val="24"/>
        </w:rPr>
        <w:t xml:space="preserve">不同投标人的投标文件载明的项目管理成员或者联系人员为同一人； </w:t>
      </w:r>
      <w:r>
        <w:rPr>
          <w:rFonts w:hint="eastAsia" w:ascii="宋体" w:hAnsi="宋体" w:eastAsia="宋体" w:cs="宋体"/>
          <w:b w:val="0"/>
          <w:bCs w:val="0"/>
          <w:color w:val="000000"/>
          <w:sz w:val="24"/>
          <w:szCs w:val="24"/>
          <w:lang w:val="en-US" w:eastAsia="zh-CN"/>
        </w:rPr>
        <w:t>8.4</w:t>
      </w:r>
      <w:r>
        <w:rPr>
          <w:rFonts w:ascii="宋体" w:hAnsi="宋体" w:eastAsia="宋体" w:cs="宋体"/>
          <w:b w:val="0"/>
          <w:bCs w:val="0"/>
          <w:color w:val="000000"/>
          <w:sz w:val="24"/>
          <w:szCs w:val="24"/>
        </w:rPr>
        <w:t xml:space="preserve">不同投标人的投标文件异常一致或者投标报价呈规律性差异； </w:t>
      </w:r>
    </w:p>
    <w:p w14:paraId="09FCBFF2">
      <w:pPr>
        <w:ind w:firstLine="720" w:firstLineChars="300"/>
      </w:pPr>
      <w:r>
        <w:rPr>
          <w:rFonts w:hint="eastAsia" w:ascii="宋体" w:hAnsi="宋体" w:eastAsia="宋体" w:cs="宋体"/>
          <w:b w:val="0"/>
          <w:bCs w:val="0"/>
          <w:color w:val="000000"/>
          <w:sz w:val="24"/>
          <w:szCs w:val="24"/>
          <w:lang w:val="en-US" w:eastAsia="zh-CN"/>
        </w:rPr>
        <w:t>8.5</w:t>
      </w:r>
      <w:r>
        <w:rPr>
          <w:rFonts w:ascii="宋体" w:hAnsi="宋体" w:eastAsia="宋体" w:cs="宋体"/>
          <w:b w:val="0"/>
          <w:bCs w:val="0"/>
          <w:color w:val="000000"/>
          <w:sz w:val="24"/>
          <w:szCs w:val="24"/>
        </w:rPr>
        <w:t>不同投标人的投标文件相互混装；</w:t>
      </w:r>
    </w:p>
    <w:p w14:paraId="53BA925E">
      <w:pPr>
        <w:bidi w:val="0"/>
      </w:pPr>
      <w:r>
        <w:rPr>
          <w:rFonts w:hint="eastAsia"/>
        </w:rPr>
        <w:t xml:space="preserve">    </w:t>
      </w:r>
    </w:p>
    <w:p w14:paraId="412D8AB9">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7A899DAD">
      <w:pPr>
        <w:pStyle w:val="3"/>
        <w:bidi w:val="0"/>
      </w:pPr>
      <w:bookmarkStart w:id="434" w:name="_Toc18817"/>
      <w:bookmarkStart w:id="435" w:name="_Toc8165"/>
      <w:bookmarkStart w:id="436" w:name="_Toc6832"/>
      <w:r>
        <w:rPr>
          <w:rFonts w:hint="eastAsia"/>
        </w:rPr>
        <w:t>第五部分 拟签订的合同文本</w:t>
      </w:r>
      <w:bookmarkEnd w:id="434"/>
      <w:bookmarkEnd w:id="435"/>
      <w:bookmarkEnd w:id="436"/>
    </w:p>
    <w:p w14:paraId="3EE79732">
      <w:pPr>
        <w:snapToGrid w:val="0"/>
        <w:spacing w:line="360" w:lineRule="auto"/>
        <w:ind w:firstLine="480" w:firstLineChars="200"/>
        <w:jc w:val="center"/>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仅供参考</w:t>
      </w:r>
      <w:r>
        <w:rPr>
          <w:rFonts w:hint="eastAsia" w:ascii="宋体" w:hAnsi="宋体" w:cs="宋体"/>
          <w:lang w:eastAsia="zh-CN"/>
        </w:rPr>
        <w:t>）</w:t>
      </w:r>
    </w:p>
    <w:p w14:paraId="713A208B">
      <w:pPr>
        <w:snapToGrid w:val="0"/>
        <w:spacing w:line="360" w:lineRule="auto"/>
        <w:ind w:firstLine="480" w:firstLineChars="200"/>
        <w:rPr>
          <w:rFonts w:hint="eastAsia" w:ascii="宋体" w:hAnsi="宋体" w:eastAsia="宋体" w:cs="宋体"/>
          <w:lang w:eastAsia="zh-CN"/>
        </w:rPr>
      </w:pPr>
      <w:r>
        <w:rPr>
          <w:rFonts w:hint="eastAsia" w:ascii="宋体" w:hAnsi="宋体" w:cs="宋体"/>
        </w:rPr>
        <w:t>项目名称：</w:t>
      </w:r>
      <w:r>
        <w:rPr>
          <w:rFonts w:hint="eastAsia" w:ascii="宋体" w:hAnsi="宋体" w:cs="宋体"/>
          <w:lang w:val="en-US" w:eastAsia="zh-CN"/>
        </w:rPr>
        <w:t xml:space="preserve"> </w:t>
      </w:r>
    </w:p>
    <w:p w14:paraId="4D16FB7E">
      <w:pPr>
        <w:snapToGrid w:val="0"/>
        <w:spacing w:line="360" w:lineRule="auto"/>
        <w:ind w:firstLine="480" w:firstLineChars="200"/>
        <w:rPr>
          <w:rFonts w:hint="eastAsia" w:ascii="宋体" w:hAnsi="宋体" w:cs="宋体"/>
        </w:rPr>
      </w:pPr>
      <w:r>
        <w:rPr>
          <w:rFonts w:hint="eastAsia" w:ascii="宋体" w:hAnsi="宋体" w:cs="宋体"/>
        </w:rPr>
        <w:t>招标编号：</w:t>
      </w:r>
    </w:p>
    <w:p w14:paraId="57E444BE">
      <w:pPr>
        <w:snapToGrid w:val="0"/>
        <w:spacing w:line="360" w:lineRule="auto"/>
        <w:ind w:firstLine="480" w:firstLineChars="200"/>
        <w:rPr>
          <w:rFonts w:hint="eastAsia" w:ascii="宋体" w:hAnsi="宋体" w:cs="宋体"/>
        </w:rPr>
      </w:pPr>
      <w:r>
        <w:rPr>
          <w:rFonts w:hint="eastAsia" w:ascii="宋体" w:hAnsi="宋体" w:cs="宋体"/>
        </w:rPr>
        <w:t>甲方：浙江康复医院</w:t>
      </w:r>
    </w:p>
    <w:p w14:paraId="68A88DEE">
      <w:pPr>
        <w:snapToGrid w:val="0"/>
        <w:spacing w:line="360" w:lineRule="auto"/>
        <w:ind w:firstLine="480" w:firstLineChars="200"/>
        <w:rPr>
          <w:rFonts w:hint="eastAsia" w:ascii="宋体" w:hAnsi="宋体" w:cs="宋体"/>
        </w:rPr>
      </w:pPr>
      <w:r>
        <w:rPr>
          <w:rFonts w:hint="eastAsia" w:ascii="宋体" w:hAnsi="宋体" w:cs="宋体"/>
        </w:rPr>
        <w:t>乙方：</w:t>
      </w:r>
    </w:p>
    <w:p w14:paraId="3D97D8DD">
      <w:pPr>
        <w:snapToGrid w:val="0"/>
        <w:spacing w:line="360" w:lineRule="auto"/>
        <w:ind w:firstLine="480" w:firstLineChars="200"/>
        <w:rPr>
          <w:rFonts w:hint="eastAsia" w:ascii="宋体" w:hAnsi="宋体" w:cs="宋体"/>
        </w:rPr>
      </w:pPr>
      <w:r>
        <w:rPr>
          <w:rFonts w:hint="eastAsia" w:ascii="宋体" w:hAnsi="宋体" w:cs="宋体"/>
        </w:rPr>
        <w:t>甲、乙双方根据</w:t>
      </w:r>
      <w:r>
        <w:rPr>
          <w:rFonts w:hint="eastAsia" w:ascii="宋体" w:hAnsi="宋体" w:cs="宋体"/>
          <w:u w:val="single"/>
          <w:lang w:val="en-US" w:eastAsia="zh-CN"/>
        </w:rPr>
        <w:t xml:space="preserve">          </w:t>
      </w:r>
      <w:r>
        <w:rPr>
          <w:rFonts w:hint="eastAsia" w:ascii="宋体" w:hAnsi="宋体" w:cs="宋体"/>
        </w:rPr>
        <w:t>项目</w:t>
      </w:r>
      <w:r>
        <w:rPr>
          <w:rFonts w:hint="eastAsia" w:ascii="宋体" w:hAnsi="宋体" w:cs="宋体"/>
          <w:lang w:val="en-US" w:eastAsia="zh-CN"/>
        </w:rPr>
        <w:t>公开招标</w:t>
      </w:r>
      <w:r>
        <w:rPr>
          <w:rFonts w:hint="eastAsia" w:ascii="宋体" w:hAnsi="宋体" w:cs="宋体"/>
        </w:rPr>
        <w:t>的结果，签署本合同。</w:t>
      </w:r>
    </w:p>
    <w:p w14:paraId="76F381E8">
      <w:pPr>
        <w:snapToGrid w:val="0"/>
        <w:spacing w:line="360" w:lineRule="auto"/>
        <w:ind w:firstLine="480" w:firstLineChars="200"/>
        <w:rPr>
          <w:rFonts w:hint="eastAsia" w:ascii="宋体" w:hAnsi="宋体" w:cs="宋体"/>
        </w:rPr>
      </w:pPr>
      <w:r>
        <w:rPr>
          <w:rFonts w:hint="eastAsia" w:ascii="宋体" w:hAnsi="宋体" w:cs="宋体"/>
        </w:rPr>
        <w:t>一、服务内容</w:t>
      </w:r>
    </w:p>
    <w:p w14:paraId="06E8CBD1">
      <w:pPr>
        <w:snapToGrid w:val="0"/>
        <w:spacing w:line="360" w:lineRule="auto"/>
        <w:ind w:firstLine="480" w:firstLineChars="200"/>
        <w:rPr>
          <w:rFonts w:hint="default" w:ascii="宋体" w:hAnsi="宋体" w:eastAsia="宋体" w:cs="宋体"/>
          <w:lang w:val="en-US" w:eastAsia="zh-CN"/>
        </w:rPr>
      </w:pPr>
      <w:r>
        <w:rPr>
          <w:rFonts w:hint="eastAsia" w:ascii="宋体" w:hAnsi="宋体" w:cs="宋体"/>
          <w:lang w:val="en-US" w:eastAsia="zh-CN"/>
        </w:rPr>
        <w:t xml:space="preserve">  </w:t>
      </w:r>
    </w:p>
    <w:p w14:paraId="621FC5E9">
      <w:pPr>
        <w:snapToGrid w:val="0"/>
        <w:spacing w:line="360" w:lineRule="auto"/>
        <w:ind w:firstLine="480" w:firstLineChars="200"/>
        <w:rPr>
          <w:rFonts w:hint="eastAsia" w:ascii="宋体" w:hAnsi="宋体" w:cs="宋体"/>
        </w:rPr>
      </w:pPr>
      <w:r>
        <w:rPr>
          <w:rFonts w:hint="eastAsia" w:ascii="宋体" w:hAnsi="宋体" w:cs="宋体"/>
        </w:rPr>
        <w:t>二、服务时间要求</w:t>
      </w:r>
    </w:p>
    <w:p w14:paraId="0EF6B001">
      <w:pPr>
        <w:snapToGrid w:val="0"/>
        <w:spacing w:line="360" w:lineRule="auto"/>
        <w:ind w:firstLine="480" w:firstLineChars="200"/>
        <w:rPr>
          <w:rFonts w:hint="eastAsia" w:ascii="宋体" w:hAnsi="宋体" w:eastAsia="宋体" w:cs="宋体"/>
          <w:lang w:eastAsia="zh-CN"/>
        </w:rPr>
      </w:pPr>
      <w:r>
        <w:rPr>
          <w:rFonts w:hint="eastAsia" w:ascii="宋体" w:hAnsi="宋体" w:cs="宋体"/>
          <w:lang w:val="en-US" w:eastAsia="zh-CN"/>
        </w:rPr>
        <w:t xml:space="preserve"> </w:t>
      </w:r>
    </w:p>
    <w:p w14:paraId="2EB7D550">
      <w:pPr>
        <w:snapToGrid w:val="0"/>
        <w:spacing w:line="360" w:lineRule="auto"/>
        <w:ind w:firstLine="480" w:firstLineChars="200"/>
        <w:rPr>
          <w:rFonts w:hint="eastAsia" w:ascii="宋体" w:hAnsi="宋体" w:cs="宋体"/>
        </w:rPr>
      </w:pPr>
      <w:r>
        <w:rPr>
          <w:rFonts w:hint="eastAsia" w:ascii="宋体" w:hAnsi="宋体" w:cs="宋体"/>
        </w:rPr>
        <w:t>二、合同金额</w:t>
      </w:r>
    </w:p>
    <w:p w14:paraId="3C55A4B5">
      <w:pPr>
        <w:snapToGrid w:val="0"/>
        <w:spacing w:line="360" w:lineRule="auto"/>
        <w:ind w:firstLine="480" w:firstLineChars="200"/>
        <w:rPr>
          <w:rFonts w:hint="eastAsia" w:ascii="宋体" w:hAnsi="宋体" w:eastAsia="宋体" w:cs="宋体"/>
          <w:lang w:eastAsia="zh-CN"/>
        </w:rPr>
      </w:pPr>
      <w:r>
        <w:rPr>
          <w:rFonts w:hint="eastAsia" w:ascii="宋体" w:hAnsi="宋体" w:cs="宋体"/>
          <w:lang w:val="en-US" w:eastAsia="zh-CN"/>
        </w:rPr>
        <w:t xml:space="preserve"> </w:t>
      </w:r>
    </w:p>
    <w:p w14:paraId="7BC8E690">
      <w:pPr>
        <w:snapToGrid w:val="0"/>
        <w:spacing w:line="360" w:lineRule="auto"/>
        <w:ind w:firstLine="480" w:firstLineChars="200"/>
        <w:rPr>
          <w:rFonts w:hint="eastAsia" w:ascii="宋体" w:hAnsi="宋体" w:cs="宋体"/>
        </w:rPr>
      </w:pPr>
      <w:r>
        <w:rPr>
          <w:rFonts w:hint="eastAsia" w:ascii="宋体" w:hAnsi="宋体" w:cs="宋体"/>
        </w:rPr>
        <w:t>三、技术资料</w:t>
      </w:r>
    </w:p>
    <w:p w14:paraId="7C11E064">
      <w:pPr>
        <w:snapToGrid w:val="0"/>
        <w:spacing w:line="360" w:lineRule="auto"/>
        <w:ind w:firstLine="480" w:firstLineChars="200"/>
        <w:rPr>
          <w:rFonts w:hint="eastAsia" w:ascii="宋体" w:hAnsi="宋体" w:cs="宋体"/>
        </w:rPr>
      </w:pPr>
      <w:r>
        <w:rPr>
          <w:rFonts w:hint="eastAsia" w:ascii="宋体" w:hAnsi="宋体" w:cs="宋体"/>
        </w:rPr>
        <w:t>1、乙方应按招标文件规定的时间向甲方提供有关技术资料。</w:t>
      </w:r>
    </w:p>
    <w:p w14:paraId="2AB5EB47">
      <w:pPr>
        <w:snapToGrid w:val="0"/>
        <w:spacing w:line="360" w:lineRule="auto"/>
        <w:ind w:firstLine="480" w:firstLineChars="200"/>
        <w:rPr>
          <w:rFonts w:hint="eastAsia" w:ascii="宋体" w:hAnsi="宋体" w:cs="宋体"/>
        </w:rPr>
      </w:pPr>
      <w:r>
        <w:rPr>
          <w:rFonts w:hint="eastAsia" w:ascii="宋体"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E09D275">
      <w:pPr>
        <w:snapToGrid w:val="0"/>
        <w:spacing w:line="360" w:lineRule="auto"/>
        <w:ind w:firstLine="480" w:firstLineChars="200"/>
        <w:rPr>
          <w:rFonts w:hint="eastAsia" w:ascii="宋体" w:hAnsi="宋体" w:cs="宋体"/>
        </w:rPr>
      </w:pPr>
      <w:r>
        <w:rPr>
          <w:rFonts w:hint="eastAsia" w:ascii="宋体" w:hAnsi="宋体" w:cs="宋体"/>
        </w:rPr>
        <w:t>四、知识产权</w:t>
      </w:r>
    </w:p>
    <w:p w14:paraId="112DE7D7">
      <w:pPr>
        <w:snapToGrid w:val="0"/>
        <w:spacing w:line="360" w:lineRule="auto"/>
        <w:ind w:firstLine="480" w:firstLineChars="200"/>
        <w:rPr>
          <w:rFonts w:hint="eastAsia" w:ascii="宋体" w:hAnsi="宋体" w:cs="宋体"/>
        </w:rPr>
      </w:pPr>
      <w:r>
        <w:rPr>
          <w:rFonts w:hint="eastAsia" w:ascii="宋体" w:hAnsi="宋体" w:cs="宋体"/>
        </w:rPr>
        <w:t>乙方应保证提供服务过程中不会侵犯任何第三方的知识产权。</w:t>
      </w:r>
    </w:p>
    <w:p w14:paraId="5F59C48D">
      <w:pPr>
        <w:snapToGrid w:val="0"/>
        <w:spacing w:line="360" w:lineRule="auto"/>
        <w:ind w:firstLine="480" w:firstLineChars="200"/>
        <w:rPr>
          <w:rFonts w:hint="eastAsia" w:ascii="宋体" w:hAnsi="宋体" w:cs="宋体"/>
        </w:rPr>
      </w:pPr>
      <w:r>
        <w:rPr>
          <w:rFonts w:hint="eastAsia" w:ascii="宋体" w:hAnsi="宋体" w:cs="宋体"/>
        </w:rPr>
        <w:t>五、履约保证金</w:t>
      </w:r>
    </w:p>
    <w:p w14:paraId="2964372F">
      <w:pPr>
        <w:snapToGrid w:val="0"/>
        <w:spacing w:line="360" w:lineRule="auto"/>
        <w:ind w:firstLine="480" w:firstLineChars="200"/>
        <w:rPr>
          <w:rFonts w:hint="eastAsia" w:ascii="宋体" w:hAnsi="宋体" w:cs="宋体"/>
        </w:rPr>
      </w:pPr>
      <w:r>
        <w:rPr>
          <w:rFonts w:hint="eastAsia" w:ascii="宋体" w:hAnsi="宋体" w:cs="宋体"/>
        </w:rPr>
        <w:t>以招标文件约定。</w:t>
      </w:r>
    </w:p>
    <w:p w14:paraId="66E92611">
      <w:pPr>
        <w:snapToGrid w:val="0"/>
        <w:spacing w:line="360" w:lineRule="auto"/>
        <w:ind w:firstLine="480" w:firstLineChars="200"/>
        <w:rPr>
          <w:rFonts w:hint="eastAsia" w:ascii="宋体" w:hAnsi="宋体" w:cs="宋体"/>
        </w:rPr>
      </w:pPr>
      <w:r>
        <w:rPr>
          <w:rFonts w:hint="eastAsia" w:ascii="宋体" w:hAnsi="宋体" w:cs="宋体"/>
        </w:rPr>
        <w:t>六、转包或分包</w:t>
      </w:r>
    </w:p>
    <w:p w14:paraId="7CA550FA">
      <w:pPr>
        <w:snapToGrid w:val="0"/>
        <w:spacing w:line="360" w:lineRule="auto"/>
        <w:ind w:firstLine="480" w:firstLineChars="200"/>
        <w:rPr>
          <w:rFonts w:hint="eastAsia" w:ascii="宋体" w:hAnsi="宋体" w:cs="宋体"/>
        </w:rPr>
      </w:pPr>
      <w:r>
        <w:rPr>
          <w:rFonts w:hint="eastAsia" w:ascii="宋体" w:hAnsi="宋体" w:cs="宋体"/>
        </w:rPr>
        <w:t>1、本合同范围的服务，应由乙方直接供应，不得转让他人供应；</w:t>
      </w:r>
    </w:p>
    <w:p w14:paraId="78E0BBAF">
      <w:pPr>
        <w:snapToGrid w:val="0"/>
        <w:spacing w:line="360" w:lineRule="auto"/>
        <w:ind w:firstLine="480" w:firstLineChars="200"/>
        <w:rPr>
          <w:rFonts w:hint="eastAsia" w:ascii="宋体" w:hAnsi="宋体" w:cs="宋体"/>
        </w:rPr>
      </w:pPr>
      <w:r>
        <w:rPr>
          <w:rFonts w:hint="eastAsia" w:ascii="宋体" w:hAnsi="宋体" w:cs="宋体"/>
        </w:rPr>
        <w:t>2、除非得到甲方的书面同意，乙方不得将本合同范围的服务全部或部分分包给他人供应；</w:t>
      </w:r>
    </w:p>
    <w:p w14:paraId="5C43DC75">
      <w:pPr>
        <w:snapToGrid w:val="0"/>
        <w:spacing w:line="360" w:lineRule="auto"/>
        <w:ind w:firstLine="480" w:firstLineChars="200"/>
        <w:rPr>
          <w:rFonts w:hint="eastAsia" w:ascii="宋体" w:hAnsi="宋体" w:cs="宋体"/>
        </w:rPr>
      </w:pPr>
      <w:r>
        <w:rPr>
          <w:rFonts w:hint="eastAsia" w:ascii="宋体" w:hAnsi="宋体" w:cs="宋体"/>
        </w:rPr>
        <w:t>3、如有转让和未经甲方同意的分包行为，甲方有权解除合同，没收履约保证金并追究乙方的违约责任。</w:t>
      </w:r>
    </w:p>
    <w:p w14:paraId="47B73D6F">
      <w:pPr>
        <w:snapToGrid w:val="0"/>
        <w:spacing w:line="360" w:lineRule="auto"/>
        <w:ind w:firstLine="480" w:firstLineChars="200"/>
        <w:rPr>
          <w:rFonts w:hint="eastAsia" w:ascii="宋体" w:hAnsi="宋体" w:cs="宋体"/>
        </w:rPr>
      </w:pPr>
      <w:r>
        <w:rPr>
          <w:rFonts w:hint="eastAsia" w:ascii="宋体" w:hAnsi="宋体" w:cs="宋体"/>
        </w:rPr>
        <w:t>七、合同履行时间、履行方式及履行地点</w:t>
      </w:r>
    </w:p>
    <w:p w14:paraId="269DC3FA">
      <w:pPr>
        <w:snapToGrid w:val="0"/>
        <w:spacing w:line="360" w:lineRule="auto"/>
        <w:ind w:firstLine="480" w:firstLineChars="200"/>
        <w:rPr>
          <w:rFonts w:hint="eastAsia" w:ascii="宋体" w:hAnsi="宋体" w:cs="宋体"/>
        </w:rPr>
      </w:pPr>
      <w:r>
        <w:rPr>
          <w:rFonts w:hint="eastAsia" w:ascii="宋体" w:hAnsi="宋体" w:cs="宋体"/>
        </w:rPr>
        <w:t>1、履行时间：     年    月    日——    年    月    日止 ；</w:t>
      </w:r>
    </w:p>
    <w:p w14:paraId="48B59440">
      <w:pPr>
        <w:snapToGrid w:val="0"/>
        <w:spacing w:line="360" w:lineRule="auto"/>
        <w:ind w:firstLine="480" w:firstLineChars="200"/>
        <w:rPr>
          <w:rFonts w:hint="eastAsia" w:ascii="宋体" w:hAnsi="宋体" w:cs="宋体"/>
        </w:rPr>
      </w:pPr>
      <w:r>
        <w:rPr>
          <w:rFonts w:hint="eastAsia" w:ascii="宋体" w:hAnsi="宋体" w:cs="宋体"/>
        </w:rPr>
        <w:t>2、履行地点：  。</w:t>
      </w:r>
    </w:p>
    <w:p w14:paraId="1CB6B146">
      <w:pPr>
        <w:snapToGrid w:val="0"/>
        <w:spacing w:line="360" w:lineRule="auto"/>
        <w:ind w:firstLine="480" w:firstLineChars="200"/>
        <w:rPr>
          <w:rFonts w:hint="eastAsia" w:ascii="宋体" w:hAnsi="宋体" w:cs="宋体"/>
        </w:rPr>
      </w:pPr>
      <w:r>
        <w:rPr>
          <w:rFonts w:hint="eastAsia" w:ascii="宋体" w:hAnsi="宋体" w:cs="宋体"/>
        </w:rPr>
        <w:t>八、款项支付</w:t>
      </w:r>
    </w:p>
    <w:p w14:paraId="4FAC3A65">
      <w:pPr>
        <w:snapToGrid w:val="0"/>
        <w:spacing w:line="360" w:lineRule="auto"/>
        <w:ind w:firstLine="480" w:firstLineChars="200"/>
        <w:rPr>
          <w:rFonts w:hint="eastAsia" w:ascii="宋体" w:hAnsi="宋体" w:eastAsia="宋体" w:cs="宋体"/>
          <w:lang w:eastAsia="zh-CN"/>
        </w:rPr>
      </w:pPr>
      <w:r>
        <w:rPr>
          <w:rFonts w:hint="eastAsia" w:ascii="宋体" w:hAnsi="宋体" w:cs="宋体"/>
          <w:lang w:val="en-US" w:eastAsia="zh-CN"/>
        </w:rPr>
        <w:t xml:space="preserve"> </w:t>
      </w:r>
    </w:p>
    <w:p w14:paraId="514673CD">
      <w:pPr>
        <w:snapToGrid w:val="0"/>
        <w:spacing w:line="360" w:lineRule="auto"/>
        <w:ind w:firstLine="480" w:firstLineChars="200"/>
        <w:rPr>
          <w:rFonts w:hint="eastAsia" w:ascii="宋体" w:hAnsi="宋体" w:cs="宋体"/>
        </w:rPr>
      </w:pPr>
      <w:r>
        <w:rPr>
          <w:rFonts w:hint="eastAsia" w:ascii="宋体" w:hAnsi="宋体" w:cs="宋体"/>
        </w:rPr>
        <w:t>九、税费</w:t>
      </w:r>
    </w:p>
    <w:p w14:paraId="62EB9E98">
      <w:pPr>
        <w:snapToGrid w:val="0"/>
        <w:spacing w:line="360" w:lineRule="auto"/>
        <w:ind w:firstLine="480" w:firstLineChars="200"/>
        <w:rPr>
          <w:rFonts w:hint="eastAsia" w:ascii="宋体" w:hAnsi="宋体" w:cs="宋体"/>
        </w:rPr>
      </w:pPr>
      <w:r>
        <w:rPr>
          <w:rFonts w:hint="eastAsia" w:ascii="宋体" w:hAnsi="宋体" w:cs="宋体"/>
        </w:rPr>
        <w:t>本合同执行中相关的一切税费均由乙方负担。</w:t>
      </w:r>
    </w:p>
    <w:p w14:paraId="534746C5">
      <w:pPr>
        <w:snapToGrid w:val="0"/>
        <w:spacing w:line="360" w:lineRule="auto"/>
        <w:ind w:firstLine="480" w:firstLineChars="200"/>
        <w:rPr>
          <w:rFonts w:hint="eastAsia" w:ascii="宋体" w:hAnsi="宋体" w:cs="宋体"/>
        </w:rPr>
      </w:pPr>
      <w:r>
        <w:rPr>
          <w:rFonts w:hint="eastAsia" w:ascii="宋体" w:hAnsi="宋体" w:cs="宋体"/>
        </w:rPr>
        <w:t>十、质量保证及后续服务</w:t>
      </w:r>
    </w:p>
    <w:p w14:paraId="1F199235">
      <w:pPr>
        <w:snapToGrid w:val="0"/>
        <w:spacing w:line="360" w:lineRule="auto"/>
        <w:ind w:firstLine="480" w:firstLineChars="200"/>
        <w:rPr>
          <w:rFonts w:hint="eastAsia" w:ascii="宋体" w:hAnsi="宋体" w:cs="宋体"/>
        </w:rPr>
      </w:pPr>
      <w:r>
        <w:rPr>
          <w:rFonts w:hint="eastAsia" w:ascii="宋体" w:hAnsi="宋体" w:cs="宋体"/>
        </w:rPr>
        <w:t>1、乙方应按招标文件规定向甲方提供服务。</w:t>
      </w:r>
    </w:p>
    <w:p w14:paraId="135E761E">
      <w:pPr>
        <w:snapToGrid w:val="0"/>
        <w:spacing w:line="360" w:lineRule="auto"/>
        <w:ind w:firstLine="480" w:firstLineChars="200"/>
        <w:rPr>
          <w:rFonts w:hint="eastAsia" w:ascii="宋体" w:hAnsi="宋体" w:cs="宋体"/>
        </w:rPr>
      </w:pPr>
      <w:r>
        <w:rPr>
          <w:rFonts w:hint="eastAsia" w:ascii="宋体" w:hAnsi="宋体" w:cs="宋体"/>
        </w:rPr>
        <w:t>2、乙方提供的服务成果在服务质量保证期内发生故障，乙方应负责免费提供后续服务。对达不到要求者，根据实际情况，经双方协商，可按以下办法处理：</w:t>
      </w:r>
    </w:p>
    <w:p w14:paraId="09842FCC">
      <w:pPr>
        <w:snapToGrid w:val="0"/>
        <w:spacing w:line="360" w:lineRule="auto"/>
        <w:ind w:firstLine="480" w:firstLineChars="200"/>
        <w:rPr>
          <w:rFonts w:hint="eastAsia" w:ascii="宋体" w:hAnsi="宋体" w:cs="宋体"/>
        </w:rPr>
      </w:pPr>
      <w:r>
        <w:rPr>
          <w:rFonts w:hint="eastAsia" w:ascii="宋体" w:hAnsi="宋体" w:cs="宋体"/>
        </w:rPr>
        <w:t>（1）重做：由乙方承担所发生的全部费用。</w:t>
      </w:r>
    </w:p>
    <w:p w14:paraId="454DBA57">
      <w:pPr>
        <w:snapToGrid w:val="0"/>
        <w:spacing w:line="360" w:lineRule="auto"/>
        <w:ind w:firstLine="480" w:firstLineChars="200"/>
        <w:rPr>
          <w:rFonts w:hint="eastAsia" w:ascii="宋体" w:hAnsi="宋体" w:cs="宋体"/>
        </w:rPr>
      </w:pPr>
      <w:r>
        <w:rPr>
          <w:rFonts w:hint="eastAsia" w:ascii="宋体" w:hAnsi="宋体" w:cs="宋体"/>
        </w:rPr>
        <w:t>（2）解除合同。</w:t>
      </w:r>
    </w:p>
    <w:p w14:paraId="4B1A897D">
      <w:pPr>
        <w:snapToGrid w:val="0"/>
        <w:spacing w:line="360" w:lineRule="auto"/>
        <w:ind w:firstLine="480" w:firstLineChars="200"/>
        <w:rPr>
          <w:rFonts w:hint="eastAsia" w:ascii="宋体" w:hAnsi="宋体" w:cs="宋体"/>
        </w:rPr>
      </w:pPr>
      <w:r>
        <w:rPr>
          <w:rFonts w:hint="eastAsia" w:ascii="宋体" w:hAnsi="宋体" w:cs="宋体"/>
        </w:rPr>
        <w:t>3、在服务质量保证期内，乙方应对出现的质量及安全问题负责处理解决并承担一切费用。</w:t>
      </w:r>
    </w:p>
    <w:p w14:paraId="232D02B5">
      <w:pPr>
        <w:snapToGrid w:val="0"/>
        <w:spacing w:line="360" w:lineRule="auto"/>
        <w:ind w:firstLine="480" w:firstLineChars="200"/>
        <w:rPr>
          <w:rFonts w:hint="eastAsia" w:ascii="宋体" w:hAnsi="宋体" w:cs="宋体"/>
        </w:rPr>
      </w:pPr>
      <w:r>
        <w:rPr>
          <w:rFonts w:hint="eastAsia" w:ascii="宋体" w:hAnsi="宋体" w:cs="宋体"/>
        </w:rPr>
        <w:t>十一、违约责任</w:t>
      </w:r>
    </w:p>
    <w:p w14:paraId="355A90E9">
      <w:pPr>
        <w:snapToGrid w:val="0"/>
        <w:spacing w:line="360" w:lineRule="auto"/>
        <w:ind w:firstLine="480" w:firstLineChars="200"/>
        <w:rPr>
          <w:rFonts w:hint="eastAsia" w:ascii="宋体" w:hAnsi="宋体" w:cs="宋体"/>
        </w:rPr>
      </w:pPr>
      <w:r>
        <w:rPr>
          <w:rFonts w:hint="eastAsia" w:ascii="宋体" w:hAnsi="宋体" w:cs="宋体"/>
        </w:rPr>
        <w:t>1、甲方无正当理由拒收接受服务的，甲方向乙方偿付伍万元作为违约金。</w:t>
      </w:r>
    </w:p>
    <w:p w14:paraId="63C58C8E">
      <w:pPr>
        <w:snapToGrid w:val="0"/>
        <w:spacing w:line="360" w:lineRule="auto"/>
        <w:ind w:firstLine="480" w:firstLineChars="200"/>
        <w:rPr>
          <w:rFonts w:hint="eastAsia" w:ascii="宋体" w:hAnsi="宋体" w:cs="宋体"/>
        </w:rPr>
      </w:pPr>
      <w:r>
        <w:rPr>
          <w:rFonts w:hint="eastAsia" w:ascii="宋体" w:hAnsi="宋体" w:cs="宋体"/>
        </w:rPr>
        <w:t>2、甲方无故逾期验收和办理款项支付手续的，甲方应按逾期付款总额每日万分之五向乙方支付违约金。</w:t>
      </w:r>
    </w:p>
    <w:p w14:paraId="31EDD534">
      <w:pPr>
        <w:snapToGrid w:val="0"/>
        <w:spacing w:line="360" w:lineRule="auto"/>
        <w:ind w:firstLine="480" w:firstLineChars="200"/>
        <w:rPr>
          <w:rFonts w:hint="eastAsia" w:ascii="宋体" w:hAnsi="宋体" w:cs="宋体"/>
        </w:rPr>
      </w:pPr>
      <w:r>
        <w:rPr>
          <w:rFonts w:hint="eastAsia" w:ascii="宋体" w:hAnsi="宋体" w:cs="宋体"/>
        </w:rPr>
        <w:t>3、乙方未能如期提供服务的，每日向甲方支付贰万元作为违约金。乙方超过约定日期5个工作日仍不能提供服务的，甲方可解除本合同。如造成甲方损失超过违约金的，超出部分由乙方继续承担赔偿责任。</w:t>
      </w:r>
    </w:p>
    <w:p w14:paraId="6A7AAA08">
      <w:pPr>
        <w:snapToGrid w:val="0"/>
        <w:spacing w:line="360" w:lineRule="auto"/>
        <w:ind w:firstLine="480" w:firstLineChars="200"/>
        <w:rPr>
          <w:rFonts w:hint="eastAsia" w:ascii="宋体" w:hAnsi="宋体" w:cs="宋体"/>
        </w:rPr>
      </w:pPr>
      <w:r>
        <w:rPr>
          <w:rFonts w:hint="eastAsia" w:ascii="宋体" w:hAnsi="宋体" w:cs="宋体"/>
        </w:rPr>
        <w:t>十二、不可抗力事件处理</w:t>
      </w:r>
    </w:p>
    <w:p w14:paraId="20F455FA">
      <w:pPr>
        <w:snapToGrid w:val="0"/>
        <w:spacing w:line="360" w:lineRule="auto"/>
        <w:ind w:firstLine="480" w:firstLineChars="200"/>
        <w:rPr>
          <w:rFonts w:hint="eastAsia" w:ascii="宋体" w:hAnsi="宋体" w:cs="宋体"/>
        </w:rPr>
      </w:pPr>
      <w:r>
        <w:rPr>
          <w:rFonts w:hint="eastAsia" w:ascii="宋体" w:hAnsi="宋体" w:cs="宋体"/>
        </w:rPr>
        <w:t>1、在合同有效期内，任何一方因不可抗力事件导致不能履行合同，则合同履行期可延长，其延长期与不可抗力影响期相同。2、不可抗力事件发生后，应立即通知对方，并寄送有关权威机构出具的证明。</w:t>
      </w:r>
    </w:p>
    <w:p w14:paraId="3BB7CFF1">
      <w:pPr>
        <w:snapToGrid w:val="0"/>
        <w:spacing w:line="360" w:lineRule="auto"/>
        <w:ind w:firstLine="480" w:firstLineChars="200"/>
        <w:rPr>
          <w:rFonts w:hint="eastAsia" w:ascii="宋体" w:hAnsi="宋体" w:cs="宋体"/>
        </w:rPr>
      </w:pPr>
      <w:r>
        <w:rPr>
          <w:rFonts w:hint="eastAsia" w:ascii="宋体" w:hAnsi="宋体" w:cs="宋体"/>
        </w:rPr>
        <w:t>3、不可抗力事件延续120天以上，双方应通过友好协商，确定是否继续履行合同。</w:t>
      </w:r>
    </w:p>
    <w:p w14:paraId="017EE83B">
      <w:pPr>
        <w:snapToGrid w:val="0"/>
        <w:spacing w:line="360" w:lineRule="auto"/>
        <w:ind w:firstLine="480" w:firstLineChars="200"/>
        <w:rPr>
          <w:rFonts w:hint="eastAsia" w:ascii="宋体" w:hAnsi="宋体" w:cs="宋体"/>
        </w:rPr>
      </w:pPr>
      <w:r>
        <w:rPr>
          <w:rFonts w:hint="eastAsia" w:ascii="宋体" w:hAnsi="宋体" w:cs="宋体"/>
        </w:rPr>
        <w:t>十三、诉讼</w:t>
      </w:r>
    </w:p>
    <w:p w14:paraId="24F972FA">
      <w:pPr>
        <w:snapToGrid w:val="0"/>
        <w:spacing w:line="360" w:lineRule="auto"/>
        <w:ind w:firstLine="480" w:firstLineChars="200"/>
        <w:rPr>
          <w:rFonts w:hint="eastAsia" w:ascii="宋体" w:hAnsi="宋体" w:cs="宋体"/>
        </w:rPr>
      </w:pPr>
      <w:r>
        <w:rPr>
          <w:rFonts w:hint="eastAsia" w:ascii="宋体" w:hAnsi="宋体" w:cs="宋体"/>
        </w:rPr>
        <w:t>双方在执行合同中所发生的一切争议，应通过协商解决。如协商不成，可向甲方所在地法院起诉。</w:t>
      </w:r>
    </w:p>
    <w:p w14:paraId="0C09AAD0">
      <w:pPr>
        <w:snapToGrid w:val="0"/>
        <w:spacing w:line="360" w:lineRule="auto"/>
        <w:ind w:firstLine="480" w:firstLineChars="200"/>
        <w:rPr>
          <w:rFonts w:hint="eastAsia" w:ascii="宋体" w:hAnsi="宋体" w:cs="宋体"/>
        </w:rPr>
      </w:pPr>
      <w:r>
        <w:rPr>
          <w:rFonts w:hint="eastAsia" w:ascii="宋体" w:hAnsi="宋体" w:cs="宋体"/>
        </w:rPr>
        <w:t>十四、合同生效及其它</w:t>
      </w:r>
    </w:p>
    <w:p w14:paraId="5D6C3C14">
      <w:pPr>
        <w:snapToGrid w:val="0"/>
        <w:spacing w:line="360" w:lineRule="auto"/>
        <w:ind w:firstLine="480" w:firstLineChars="200"/>
        <w:rPr>
          <w:rFonts w:hint="eastAsia" w:ascii="宋体" w:hAnsi="宋体" w:cs="宋体"/>
        </w:rPr>
      </w:pPr>
      <w:r>
        <w:rPr>
          <w:rFonts w:hint="eastAsia" w:ascii="宋体" w:hAnsi="宋体" w:cs="宋体"/>
        </w:rPr>
        <w:t>1、合同经双方法定代表人或授权代表签字并加盖单位公章后生效。</w:t>
      </w:r>
    </w:p>
    <w:p w14:paraId="55F0534B">
      <w:pPr>
        <w:snapToGrid w:val="0"/>
        <w:spacing w:line="360" w:lineRule="auto"/>
        <w:ind w:firstLine="480" w:firstLineChars="200"/>
        <w:rPr>
          <w:rFonts w:hint="eastAsia" w:ascii="宋体" w:hAnsi="宋体" w:cs="宋体"/>
        </w:rPr>
      </w:pPr>
      <w:r>
        <w:rPr>
          <w:rFonts w:hint="eastAsia" w:ascii="宋体" w:hAnsi="宋体" w:cs="宋体"/>
        </w:rPr>
        <w:t>2、合同执行中涉及采购资金和采购内容修改或补充的，须经财政部门审批，并签书面补充协议报采购监督管理部门备案，方可作为主合同不可分割的一部分。</w:t>
      </w:r>
    </w:p>
    <w:p w14:paraId="58426C45">
      <w:pPr>
        <w:snapToGrid w:val="0"/>
        <w:spacing w:line="360" w:lineRule="auto"/>
        <w:ind w:firstLine="480" w:firstLineChars="200"/>
        <w:rPr>
          <w:rFonts w:hint="eastAsia" w:ascii="宋体" w:hAnsi="宋体" w:cs="宋体"/>
        </w:rPr>
      </w:pPr>
      <w:r>
        <w:rPr>
          <w:rFonts w:hint="eastAsia" w:ascii="宋体" w:hAnsi="宋体" w:cs="宋体"/>
        </w:rPr>
        <w:t>3、招标文件、投标文件及评标过程中形成的文字资料、询标纪要均作为本合同的组成部分，具有同等效力。本合同未尽事宜，遵照《民法典》有关条文执行。</w:t>
      </w:r>
    </w:p>
    <w:p w14:paraId="2C9FAF97">
      <w:pPr>
        <w:snapToGrid w:val="0"/>
        <w:spacing w:line="360" w:lineRule="auto"/>
        <w:ind w:firstLine="480" w:firstLineChars="200"/>
        <w:rPr>
          <w:rFonts w:hint="eastAsia" w:ascii="宋体" w:hAnsi="宋体" w:cs="宋体"/>
        </w:rPr>
      </w:pPr>
      <w:r>
        <w:rPr>
          <w:rFonts w:hint="eastAsia" w:ascii="宋体" w:hAnsi="宋体" w:cs="宋体"/>
        </w:rPr>
        <w:t>4、本合同一式肆份，具有同等法律效力，甲乙双方各执两份。</w:t>
      </w:r>
    </w:p>
    <w:p w14:paraId="521B30D3">
      <w:pPr>
        <w:snapToGrid w:val="0"/>
        <w:spacing w:line="360" w:lineRule="auto"/>
        <w:ind w:firstLine="0" w:firstLineChars="0"/>
        <w:rPr>
          <w:rFonts w:hint="eastAsia" w:ascii="宋体" w:hAnsi="宋体" w:cs="宋体"/>
        </w:rPr>
      </w:pPr>
    </w:p>
    <w:p w14:paraId="422B076A">
      <w:pPr>
        <w:snapToGrid w:val="0"/>
        <w:spacing w:line="360" w:lineRule="auto"/>
        <w:ind w:firstLine="480" w:firstLineChars="200"/>
        <w:rPr>
          <w:rFonts w:hint="eastAsia" w:ascii="宋体" w:hAnsi="宋体" w:cs="宋体"/>
        </w:rPr>
      </w:pPr>
      <w:r>
        <w:rPr>
          <w:rFonts w:hint="eastAsia" w:ascii="宋体" w:hAnsi="宋体" w:cs="宋体"/>
        </w:rPr>
        <w:t xml:space="preserve">甲方（盖章）：                             乙方（盖章）：        </w:t>
      </w:r>
    </w:p>
    <w:p w14:paraId="1ECCA167">
      <w:pPr>
        <w:snapToGrid w:val="0"/>
        <w:spacing w:line="360" w:lineRule="auto"/>
        <w:ind w:firstLine="480" w:firstLineChars="200"/>
        <w:rPr>
          <w:rFonts w:hint="eastAsia" w:ascii="宋体" w:hAnsi="宋体" w:cs="宋体"/>
        </w:rPr>
      </w:pPr>
      <w:r>
        <w:rPr>
          <w:rFonts w:hint="eastAsia" w:ascii="宋体" w:hAnsi="宋体" w:cs="宋体"/>
        </w:rPr>
        <w:t xml:space="preserve">法定代表人：                              法定代表人：    </w:t>
      </w:r>
    </w:p>
    <w:p w14:paraId="3E604BB1">
      <w:pPr>
        <w:snapToGrid w:val="0"/>
        <w:spacing w:line="360" w:lineRule="auto"/>
        <w:ind w:firstLine="480" w:firstLineChars="200"/>
        <w:rPr>
          <w:rFonts w:hint="eastAsia" w:ascii="宋体" w:hAnsi="宋体" w:cs="宋体"/>
        </w:rPr>
      </w:pPr>
      <w:r>
        <w:rPr>
          <w:rFonts w:hint="eastAsia" w:ascii="宋体" w:hAnsi="宋体" w:cs="宋体"/>
        </w:rPr>
        <w:t xml:space="preserve">或受委托人（签字）：                       或受委托人（签字）：  </w:t>
      </w:r>
    </w:p>
    <w:p w14:paraId="7E1E39A7">
      <w:pPr>
        <w:snapToGrid w:val="0"/>
        <w:spacing w:line="360" w:lineRule="auto"/>
        <w:ind w:firstLine="480" w:firstLineChars="200"/>
        <w:rPr>
          <w:rFonts w:hint="eastAsia" w:ascii="宋体" w:hAnsi="宋体" w:cs="宋体"/>
        </w:rPr>
      </w:pPr>
      <w:r>
        <w:rPr>
          <w:rFonts w:hint="eastAsia" w:ascii="宋体" w:hAnsi="宋体" w:cs="宋体"/>
        </w:rPr>
        <w:t>联系人：                                  联系人：</w:t>
      </w:r>
    </w:p>
    <w:p w14:paraId="552C1C7A">
      <w:pPr>
        <w:snapToGrid w:val="0"/>
        <w:spacing w:line="360" w:lineRule="auto"/>
        <w:ind w:firstLine="480" w:firstLineChars="200"/>
        <w:rPr>
          <w:rFonts w:hint="eastAsia" w:ascii="宋体" w:hAnsi="宋体" w:cs="宋体"/>
        </w:rPr>
      </w:pPr>
      <w:r>
        <w:rPr>
          <w:rFonts w:hint="eastAsia" w:ascii="宋体" w:hAnsi="宋体" w:cs="宋体"/>
        </w:rPr>
        <w:t xml:space="preserve">地址：                                    地址： </w:t>
      </w:r>
    </w:p>
    <w:p w14:paraId="6F5D9600">
      <w:pPr>
        <w:snapToGrid w:val="0"/>
        <w:spacing w:line="360" w:lineRule="auto"/>
        <w:ind w:firstLine="480" w:firstLineChars="200"/>
        <w:rPr>
          <w:rFonts w:hint="eastAsia" w:ascii="宋体" w:hAnsi="宋体" w:cs="宋体"/>
        </w:rPr>
      </w:pPr>
      <w:r>
        <w:rPr>
          <w:rFonts w:hint="eastAsia" w:ascii="宋体" w:hAnsi="宋体" w:cs="宋体"/>
        </w:rPr>
        <w:t>电话：                                    电话：</w:t>
      </w:r>
    </w:p>
    <w:p w14:paraId="205D44C0">
      <w:pPr>
        <w:snapToGrid w:val="0"/>
        <w:spacing w:line="360" w:lineRule="auto"/>
        <w:ind w:firstLine="480" w:firstLineChars="200"/>
        <w:rPr>
          <w:rFonts w:hint="eastAsia" w:ascii="宋体" w:hAnsi="宋体" w:cs="宋体"/>
        </w:rPr>
      </w:pPr>
      <w:r>
        <w:rPr>
          <w:rFonts w:hint="eastAsia" w:ascii="宋体" w:hAnsi="宋体" w:cs="宋体"/>
        </w:rPr>
        <w:t>传真：                                    传真：</w:t>
      </w:r>
    </w:p>
    <w:p w14:paraId="3CB10692">
      <w:pPr>
        <w:snapToGrid w:val="0"/>
        <w:spacing w:line="360" w:lineRule="auto"/>
        <w:ind w:firstLine="480" w:firstLineChars="200"/>
        <w:rPr>
          <w:rFonts w:hint="eastAsia" w:ascii="宋体" w:hAnsi="宋体" w:cs="宋体"/>
        </w:rPr>
      </w:pPr>
      <w:r>
        <w:rPr>
          <w:rFonts w:hint="eastAsia" w:ascii="宋体" w:hAnsi="宋体" w:cs="宋体"/>
        </w:rPr>
        <w:t xml:space="preserve">开户银行：                                开户银行： </w:t>
      </w:r>
    </w:p>
    <w:p w14:paraId="6084DAAC">
      <w:pPr>
        <w:snapToGrid w:val="0"/>
        <w:spacing w:line="360" w:lineRule="auto"/>
        <w:ind w:firstLine="480" w:firstLineChars="200"/>
        <w:rPr>
          <w:rFonts w:hint="eastAsia" w:ascii="宋体" w:hAnsi="宋体" w:cs="宋体"/>
        </w:rPr>
      </w:pPr>
      <w:r>
        <w:rPr>
          <w:rFonts w:hint="eastAsia" w:ascii="宋体" w:hAnsi="宋体" w:cs="宋体"/>
        </w:rPr>
        <w:t>帐号：                                    帐号：</w:t>
      </w:r>
    </w:p>
    <w:p w14:paraId="026D692B">
      <w:pPr>
        <w:snapToGrid w:val="0"/>
        <w:spacing w:line="360" w:lineRule="auto"/>
        <w:ind w:firstLine="480" w:firstLineChars="200"/>
        <w:rPr>
          <w:rFonts w:hint="eastAsia" w:ascii="宋体" w:hAnsi="宋体" w:cs="宋体"/>
        </w:rPr>
      </w:pPr>
      <w:r>
        <w:rPr>
          <w:rFonts w:hint="eastAsia" w:ascii="宋体" w:hAnsi="宋体" w:cs="宋体"/>
        </w:rPr>
        <w:t>签订时间：                                签订时间：</w:t>
      </w:r>
    </w:p>
    <w:p w14:paraId="09CC300F">
      <w:pPr>
        <w:spacing w:line="360" w:lineRule="auto"/>
        <w:ind w:firstLineChars="200"/>
        <w:rPr>
          <w:rFonts w:hint="eastAsia" w:ascii="宋体" w:hAnsi="宋体" w:eastAsia="宋体" w:cs="宋体"/>
        </w:rPr>
      </w:pPr>
      <w:r>
        <w:rPr>
          <w:rFonts w:hint="eastAsia" w:ascii="宋体" w:hAnsi="宋体" w:eastAsia="宋体" w:cs="宋体"/>
        </w:rPr>
        <w:t>签订地点：</w:t>
      </w:r>
    </w:p>
    <w:p w14:paraId="464B48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437" w:name="_Toc26124"/>
      <w:bookmarkStart w:id="438" w:name="_Toc16158"/>
    </w:p>
    <w:p w14:paraId="338EEFF1">
      <w:pPr>
        <w:pStyle w:val="3"/>
        <w:bidi w:val="0"/>
      </w:pPr>
      <w:bookmarkStart w:id="439" w:name="_Toc24822"/>
      <w:r>
        <w:rPr>
          <w:rFonts w:hint="eastAsia"/>
        </w:rPr>
        <w:t>第六部分</w:t>
      </w:r>
      <w:bookmarkEnd w:id="432"/>
      <w:r>
        <w:rPr>
          <w:rFonts w:hint="eastAsia"/>
        </w:rPr>
        <w:t xml:space="preserve"> </w:t>
      </w:r>
      <w:bookmarkEnd w:id="433"/>
      <w:r>
        <w:rPr>
          <w:rFonts w:hint="eastAsia"/>
        </w:rPr>
        <w:t>应提交的有关格式范例</w:t>
      </w:r>
      <w:bookmarkEnd w:id="437"/>
      <w:bookmarkEnd w:id="438"/>
      <w:bookmarkEnd w:id="439"/>
    </w:p>
    <w:p w14:paraId="436A3A69">
      <w:pPr>
        <w:bidi w:val="0"/>
      </w:pPr>
    </w:p>
    <w:p w14:paraId="6C5E1E60">
      <w:pPr>
        <w:pStyle w:val="4"/>
        <w:bidi w:val="0"/>
      </w:pPr>
      <w:bookmarkStart w:id="440" w:name="_Toc13095"/>
      <w:bookmarkStart w:id="441" w:name="_Toc8900"/>
      <w:r>
        <w:rPr>
          <w:rFonts w:hint="eastAsia"/>
        </w:rPr>
        <w:t>资格文件部分</w:t>
      </w:r>
      <w:bookmarkEnd w:id="440"/>
      <w:bookmarkEnd w:id="441"/>
    </w:p>
    <w:p w14:paraId="279CD226">
      <w:pPr>
        <w:bidi w:val="0"/>
        <w:ind w:left="0" w:leftChars="0" w:firstLine="0" w:firstLineChars="0"/>
        <w:jc w:val="center"/>
        <w:rPr>
          <w:b/>
          <w:bCs/>
          <w:sz w:val="36"/>
          <w:szCs w:val="36"/>
        </w:rPr>
      </w:pPr>
      <w:r>
        <w:rPr>
          <w:rFonts w:hint="eastAsia"/>
          <w:b/>
          <w:bCs/>
          <w:sz w:val="36"/>
          <w:szCs w:val="36"/>
        </w:rPr>
        <w:t>目录</w:t>
      </w:r>
    </w:p>
    <w:p w14:paraId="3A7A65F6">
      <w:pPr>
        <w:bidi w:val="0"/>
      </w:pPr>
    </w:p>
    <w:p w14:paraId="67EC21E1">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14:paraId="18AF9837">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D6B4893">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E3F537">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F983D33">
      <w:pPr>
        <w:snapToGrid w:val="0"/>
        <w:spacing w:line="360" w:lineRule="auto"/>
        <w:ind w:firstLine="480" w:firstLineChars="200"/>
        <w:rPr>
          <w:rFonts w:ascii="宋体" w:hAnsi="宋体" w:cs="宋体"/>
          <w:sz w:val="24"/>
        </w:rPr>
      </w:pPr>
    </w:p>
    <w:p w14:paraId="1EA631F8">
      <w:pPr>
        <w:spacing w:line="360" w:lineRule="auto"/>
        <w:ind w:firstLine="480" w:firstLineChars="200"/>
        <w:rPr>
          <w:rFonts w:ascii="宋体" w:hAnsi="宋体" w:cs="宋体"/>
          <w:sz w:val="24"/>
        </w:rPr>
      </w:pPr>
    </w:p>
    <w:p w14:paraId="7B18B74B">
      <w:pPr>
        <w:pStyle w:val="4"/>
        <w:numPr>
          <w:ilvl w:val="0"/>
          <w:numId w:val="3"/>
        </w:numPr>
        <w:bidi w:val="0"/>
        <w:rPr>
          <w:rFonts w:hint="eastAsia"/>
        </w:rPr>
      </w:pPr>
      <w:r>
        <w:rPr>
          <w:rFonts w:hint="eastAsia" w:ascii="宋体" w:hAnsi="宋体" w:cs="宋体"/>
          <w:kern w:val="0"/>
          <w:sz w:val="24"/>
        </w:rPr>
        <w:br w:type="page"/>
      </w:r>
      <w:bookmarkStart w:id="442" w:name="_Toc10261"/>
      <w:bookmarkStart w:id="443" w:name="_Toc22040"/>
      <w:r>
        <w:rPr>
          <w:rFonts w:hint="eastAsia"/>
        </w:rPr>
        <w:t>符合参加政府采购活动应当具备的一般条件的承诺函</w:t>
      </w:r>
      <w:bookmarkEnd w:id="442"/>
      <w:bookmarkEnd w:id="443"/>
    </w:p>
    <w:p w14:paraId="428E642E">
      <w:pPr>
        <w:bidi w:val="0"/>
      </w:pPr>
    </w:p>
    <w:p w14:paraId="7090A55F">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B6AADE7">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4034273C">
      <w:pPr>
        <w:bidi w:val="0"/>
        <w:rPr>
          <w:rFonts w:ascii="宋体" w:hAnsi="宋体" w:cs="宋体"/>
          <w:sz w:val="24"/>
        </w:rPr>
      </w:pPr>
      <w:r>
        <w:rPr>
          <w:rFonts w:hint="eastAsia" w:ascii="宋体" w:hAnsi="宋体" w:cs="宋体"/>
          <w:sz w:val="24"/>
        </w:rPr>
        <w:t>（采购人）、（采购代理机构）：</w:t>
      </w:r>
    </w:p>
    <w:p w14:paraId="5E7AA5C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14:paraId="451A58C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2FDF55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32EA9D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8A3BBC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F69BF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C67973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C02A4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9776B8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267F2B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1EFEEC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507074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9A1D73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AD5B21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803675">
      <w:pPr>
        <w:snapToGrid w:val="0"/>
        <w:spacing w:line="360" w:lineRule="auto"/>
        <w:ind w:right="480"/>
        <w:jc w:val="center"/>
        <w:rPr>
          <w:rFonts w:ascii="宋体" w:hAnsi="宋体" w:cs="宋体"/>
          <w:b/>
          <w:kern w:val="0"/>
          <w:sz w:val="32"/>
          <w:szCs w:val="32"/>
        </w:rPr>
      </w:pPr>
    </w:p>
    <w:p w14:paraId="6EC78C69">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0191FF81">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14:paraId="2561AFC2">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37C18F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4AE9559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70712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8B537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EA078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0C2FA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57DFD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11D18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F9393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F1D86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3A40B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F5DC25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85DD029">
      <w:pPr>
        <w:snapToGrid w:val="0"/>
        <w:spacing w:line="360" w:lineRule="auto"/>
        <w:ind w:firstLine="480" w:firstLineChars="200"/>
        <w:rPr>
          <w:rFonts w:hint="eastAsia" w:ascii="宋体" w:hAnsi="宋体" w:cs="宋体"/>
          <w:color w:val="auto"/>
          <w:sz w:val="24"/>
        </w:rPr>
      </w:pPr>
    </w:p>
    <w:p w14:paraId="0882EDE9">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47F81EE">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D540DCE">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69EAD3E4">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F80830E">
      <w:pPr>
        <w:snapToGrid w:val="0"/>
        <w:spacing w:line="360" w:lineRule="auto"/>
        <w:ind w:right="480"/>
        <w:jc w:val="center"/>
        <w:rPr>
          <w:rFonts w:ascii="宋体" w:hAnsi="宋体" w:cs="宋体"/>
          <w:b/>
          <w:color w:val="auto"/>
          <w:kern w:val="0"/>
          <w:sz w:val="32"/>
          <w:szCs w:val="32"/>
        </w:rPr>
      </w:pPr>
    </w:p>
    <w:p w14:paraId="5F924F3C">
      <w:pPr>
        <w:snapToGrid w:val="0"/>
        <w:spacing w:line="360" w:lineRule="auto"/>
        <w:ind w:right="480"/>
        <w:jc w:val="center"/>
        <w:rPr>
          <w:rFonts w:ascii="宋体" w:hAnsi="宋体" w:cs="宋体"/>
          <w:b/>
          <w:color w:val="auto"/>
          <w:kern w:val="0"/>
          <w:sz w:val="32"/>
          <w:szCs w:val="32"/>
        </w:rPr>
      </w:pPr>
    </w:p>
    <w:p w14:paraId="432A4B56">
      <w:pPr>
        <w:widowControl/>
        <w:spacing w:line="360" w:lineRule="auto"/>
        <w:ind w:firstLine="643" w:firstLineChars="200"/>
        <w:jc w:val="center"/>
        <w:rPr>
          <w:rFonts w:hint="eastAsia" w:ascii="宋体" w:hAnsi="宋体" w:cs="宋体"/>
          <w:b/>
          <w:color w:val="auto"/>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B765503">
      <w:pPr>
        <w:pStyle w:val="4"/>
        <w:bidi w:val="0"/>
      </w:pPr>
      <w:bookmarkStart w:id="444" w:name="_Toc14124"/>
      <w:bookmarkStart w:id="445" w:name="_Toc27338"/>
      <w:r>
        <w:rPr>
          <w:rFonts w:hint="eastAsia"/>
        </w:rPr>
        <w:t>二、联合协议（如有）</w:t>
      </w:r>
      <w:bookmarkEnd w:id="444"/>
      <w:bookmarkEnd w:id="445"/>
    </w:p>
    <w:p w14:paraId="6619A69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2FE5981">
      <w:pPr>
        <w:snapToGrid w:val="0"/>
        <w:spacing w:line="360" w:lineRule="auto"/>
        <w:ind w:right="480"/>
        <w:jc w:val="center"/>
        <w:rPr>
          <w:rFonts w:ascii="宋体" w:hAnsi="宋体" w:cs="宋体"/>
          <w:b/>
          <w:kern w:val="0"/>
          <w:sz w:val="32"/>
          <w:szCs w:val="32"/>
        </w:rPr>
      </w:pPr>
    </w:p>
    <w:p w14:paraId="500BF84B">
      <w:pPr>
        <w:snapToGrid w:val="0"/>
        <w:spacing w:line="360" w:lineRule="auto"/>
        <w:ind w:right="480"/>
        <w:jc w:val="center"/>
        <w:rPr>
          <w:rFonts w:ascii="宋体" w:hAnsi="宋体" w:cs="宋体"/>
          <w:b/>
          <w:kern w:val="0"/>
          <w:sz w:val="32"/>
          <w:szCs w:val="32"/>
        </w:rPr>
      </w:pPr>
    </w:p>
    <w:p w14:paraId="04FBB362">
      <w:pPr>
        <w:snapToGrid w:val="0"/>
        <w:spacing w:line="360" w:lineRule="auto"/>
        <w:ind w:right="480"/>
        <w:jc w:val="center"/>
        <w:rPr>
          <w:rFonts w:ascii="宋体" w:hAnsi="宋体" w:cs="宋体"/>
          <w:b/>
          <w:kern w:val="0"/>
          <w:sz w:val="32"/>
          <w:szCs w:val="32"/>
        </w:rPr>
      </w:pPr>
    </w:p>
    <w:p w14:paraId="5837A1A2">
      <w:pPr>
        <w:snapToGrid w:val="0"/>
        <w:spacing w:line="360" w:lineRule="auto"/>
        <w:ind w:right="480"/>
        <w:jc w:val="center"/>
        <w:rPr>
          <w:rFonts w:ascii="宋体" w:hAnsi="宋体" w:cs="宋体"/>
          <w:b/>
          <w:kern w:val="0"/>
          <w:sz w:val="32"/>
          <w:szCs w:val="32"/>
        </w:rPr>
      </w:pPr>
    </w:p>
    <w:p w14:paraId="5444DA41">
      <w:pPr>
        <w:snapToGrid w:val="0"/>
        <w:spacing w:line="360" w:lineRule="auto"/>
        <w:ind w:right="480"/>
        <w:jc w:val="center"/>
        <w:rPr>
          <w:rFonts w:ascii="宋体" w:hAnsi="宋体" w:cs="宋体"/>
          <w:b/>
          <w:kern w:val="0"/>
          <w:sz w:val="32"/>
          <w:szCs w:val="32"/>
        </w:rPr>
      </w:pPr>
    </w:p>
    <w:p w14:paraId="0882F403">
      <w:pPr>
        <w:snapToGrid w:val="0"/>
        <w:spacing w:line="360" w:lineRule="auto"/>
        <w:ind w:right="480"/>
        <w:jc w:val="center"/>
        <w:rPr>
          <w:rFonts w:ascii="宋体" w:hAnsi="宋体" w:cs="宋体"/>
          <w:b/>
          <w:kern w:val="0"/>
          <w:sz w:val="32"/>
          <w:szCs w:val="32"/>
        </w:rPr>
      </w:pPr>
    </w:p>
    <w:p w14:paraId="4A7FE2E7">
      <w:pPr>
        <w:snapToGrid w:val="0"/>
        <w:spacing w:line="360" w:lineRule="auto"/>
        <w:ind w:right="480"/>
        <w:jc w:val="center"/>
        <w:rPr>
          <w:rFonts w:ascii="宋体" w:hAnsi="宋体" w:cs="宋体"/>
          <w:b/>
          <w:kern w:val="0"/>
          <w:sz w:val="32"/>
          <w:szCs w:val="32"/>
        </w:rPr>
      </w:pPr>
    </w:p>
    <w:p w14:paraId="05E707EB">
      <w:pPr>
        <w:snapToGrid w:val="0"/>
        <w:spacing w:line="360" w:lineRule="auto"/>
        <w:ind w:right="480"/>
        <w:jc w:val="center"/>
        <w:rPr>
          <w:rFonts w:ascii="宋体" w:hAnsi="宋体" w:cs="宋体"/>
          <w:b/>
          <w:kern w:val="0"/>
          <w:sz w:val="32"/>
          <w:szCs w:val="32"/>
        </w:rPr>
      </w:pPr>
    </w:p>
    <w:p w14:paraId="405AC636">
      <w:pPr>
        <w:snapToGrid w:val="0"/>
        <w:spacing w:line="360" w:lineRule="auto"/>
        <w:ind w:right="480"/>
        <w:jc w:val="center"/>
        <w:rPr>
          <w:rFonts w:ascii="宋体" w:hAnsi="宋体" w:cs="宋体"/>
          <w:b/>
          <w:kern w:val="0"/>
          <w:sz w:val="32"/>
          <w:szCs w:val="32"/>
        </w:rPr>
      </w:pPr>
    </w:p>
    <w:p w14:paraId="05E1C89B">
      <w:pPr>
        <w:snapToGrid w:val="0"/>
        <w:spacing w:line="360" w:lineRule="auto"/>
        <w:ind w:right="480"/>
        <w:jc w:val="center"/>
        <w:rPr>
          <w:rFonts w:ascii="宋体" w:hAnsi="宋体" w:cs="宋体"/>
          <w:b/>
          <w:kern w:val="0"/>
          <w:sz w:val="32"/>
          <w:szCs w:val="32"/>
        </w:rPr>
      </w:pPr>
    </w:p>
    <w:p w14:paraId="19EE28C9">
      <w:pPr>
        <w:snapToGrid w:val="0"/>
        <w:spacing w:line="360" w:lineRule="auto"/>
        <w:ind w:right="480"/>
        <w:jc w:val="center"/>
        <w:rPr>
          <w:rFonts w:ascii="宋体" w:hAnsi="宋体" w:cs="宋体"/>
          <w:b/>
          <w:kern w:val="0"/>
          <w:sz w:val="32"/>
          <w:szCs w:val="32"/>
        </w:rPr>
      </w:pPr>
    </w:p>
    <w:p w14:paraId="5EE89912">
      <w:pPr>
        <w:snapToGrid w:val="0"/>
        <w:spacing w:line="360" w:lineRule="auto"/>
        <w:ind w:right="480"/>
        <w:jc w:val="center"/>
        <w:rPr>
          <w:rFonts w:ascii="宋体" w:hAnsi="宋体" w:cs="宋体"/>
          <w:b/>
          <w:kern w:val="0"/>
          <w:sz w:val="32"/>
          <w:szCs w:val="32"/>
        </w:rPr>
      </w:pPr>
    </w:p>
    <w:p w14:paraId="22609C57">
      <w:pPr>
        <w:snapToGrid w:val="0"/>
        <w:spacing w:line="360" w:lineRule="auto"/>
        <w:ind w:right="480"/>
        <w:jc w:val="center"/>
        <w:rPr>
          <w:rFonts w:ascii="宋体" w:hAnsi="宋体" w:cs="宋体"/>
          <w:b/>
          <w:kern w:val="0"/>
          <w:sz w:val="32"/>
          <w:szCs w:val="32"/>
        </w:rPr>
      </w:pPr>
    </w:p>
    <w:p w14:paraId="3C12C19F">
      <w:pPr>
        <w:snapToGrid w:val="0"/>
        <w:spacing w:line="360" w:lineRule="auto"/>
        <w:ind w:right="480"/>
        <w:jc w:val="center"/>
        <w:rPr>
          <w:rFonts w:ascii="宋体" w:hAnsi="宋体" w:cs="宋体"/>
          <w:b/>
          <w:kern w:val="0"/>
          <w:sz w:val="32"/>
          <w:szCs w:val="32"/>
        </w:rPr>
      </w:pPr>
    </w:p>
    <w:p w14:paraId="4FB54A30">
      <w:pPr>
        <w:snapToGrid w:val="0"/>
        <w:spacing w:line="360" w:lineRule="auto"/>
        <w:ind w:right="480"/>
        <w:jc w:val="center"/>
        <w:rPr>
          <w:rFonts w:ascii="宋体" w:hAnsi="宋体" w:cs="宋体"/>
          <w:b/>
          <w:kern w:val="0"/>
          <w:sz w:val="32"/>
          <w:szCs w:val="32"/>
        </w:rPr>
      </w:pPr>
    </w:p>
    <w:p w14:paraId="29044C7F">
      <w:pPr>
        <w:snapToGrid w:val="0"/>
        <w:spacing w:line="360" w:lineRule="auto"/>
        <w:ind w:right="480"/>
        <w:jc w:val="center"/>
        <w:rPr>
          <w:rFonts w:ascii="宋体" w:hAnsi="宋体" w:cs="宋体"/>
          <w:b/>
          <w:kern w:val="0"/>
          <w:sz w:val="32"/>
          <w:szCs w:val="32"/>
        </w:rPr>
      </w:pPr>
    </w:p>
    <w:p w14:paraId="404300FC">
      <w:pPr>
        <w:snapToGrid w:val="0"/>
        <w:spacing w:line="360" w:lineRule="auto"/>
        <w:ind w:right="480"/>
        <w:jc w:val="center"/>
        <w:rPr>
          <w:rFonts w:ascii="宋体" w:hAnsi="宋体" w:cs="宋体"/>
          <w:b/>
          <w:kern w:val="0"/>
          <w:sz w:val="32"/>
          <w:szCs w:val="32"/>
        </w:rPr>
      </w:pPr>
    </w:p>
    <w:p w14:paraId="21CEEF9E">
      <w:pPr>
        <w:snapToGrid w:val="0"/>
        <w:spacing w:line="360" w:lineRule="auto"/>
        <w:ind w:right="480"/>
        <w:jc w:val="center"/>
        <w:rPr>
          <w:rFonts w:ascii="宋体" w:hAnsi="宋体" w:cs="宋体"/>
          <w:b/>
          <w:kern w:val="0"/>
          <w:sz w:val="32"/>
          <w:szCs w:val="32"/>
        </w:rPr>
      </w:pPr>
    </w:p>
    <w:p w14:paraId="5D385056">
      <w:pPr>
        <w:snapToGrid w:val="0"/>
        <w:spacing w:line="360" w:lineRule="auto"/>
        <w:ind w:right="480"/>
        <w:jc w:val="center"/>
        <w:rPr>
          <w:rFonts w:ascii="宋体" w:hAnsi="宋体" w:cs="宋体"/>
          <w:b/>
          <w:kern w:val="0"/>
          <w:sz w:val="32"/>
          <w:szCs w:val="32"/>
        </w:rPr>
      </w:pPr>
    </w:p>
    <w:p w14:paraId="06B7F83A">
      <w:pPr>
        <w:pStyle w:val="4"/>
        <w:bidi w:val="0"/>
      </w:pPr>
      <w:bookmarkStart w:id="446" w:name="_Toc15398"/>
      <w:bookmarkStart w:id="447" w:name="_Toc16477"/>
      <w:r>
        <w:rPr>
          <w:rFonts w:hint="eastAsia"/>
        </w:rPr>
        <w:t>三、落实政府采购政策需满足的资格要求</w:t>
      </w:r>
      <w:bookmarkEnd w:id="446"/>
      <w:bookmarkEnd w:id="447"/>
    </w:p>
    <w:p w14:paraId="66CFEC3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A4D93E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0E085A08">
      <w:pPr>
        <w:widowControl/>
        <w:spacing w:line="360" w:lineRule="auto"/>
        <w:ind w:firstLine="480"/>
        <w:jc w:val="left"/>
        <w:rPr>
          <w:rFonts w:ascii="宋体" w:hAnsi="宋体" w:cs="宋体"/>
          <w:sz w:val="24"/>
        </w:rPr>
      </w:pPr>
    </w:p>
    <w:p w14:paraId="6ED447A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13DC0A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62815C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1A8AB35">
      <w:pPr>
        <w:widowControl/>
        <w:spacing w:line="360" w:lineRule="auto"/>
        <w:ind w:left="150"/>
        <w:jc w:val="center"/>
        <w:rPr>
          <w:rFonts w:ascii="宋体" w:hAnsi="宋体" w:cs="宋体"/>
          <w:b/>
          <w:kern w:val="0"/>
          <w:sz w:val="32"/>
          <w:szCs w:val="32"/>
        </w:rPr>
      </w:pPr>
    </w:p>
    <w:p w14:paraId="42DC77D7">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A4F45E">
      <w:pPr>
        <w:pStyle w:val="4"/>
        <w:bidi w:val="0"/>
      </w:pPr>
      <w:bookmarkStart w:id="448" w:name="_Toc25288"/>
      <w:bookmarkStart w:id="449" w:name="_Toc25980"/>
      <w:r>
        <w:rPr>
          <w:rFonts w:hint="eastAsia"/>
        </w:rPr>
        <w:t>四、本项目的特定资格要求</w:t>
      </w:r>
      <w:bookmarkEnd w:id="448"/>
      <w:bookmarkEnd w:id="449"/>
    </w:p>
    <w:p w14:paraId="0ABC860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F9D9AB3">
      <w:pPr>
        <w:rPr>
          <w:rFonts w:ascii="宋体" w:hAnsi="宋体" w:cs="宋体"/>
        </w:rPr>
      </w:pPr>
    </w:p>
    <w:p w14:paraId="6C3F4905">
      <w:pPr>
        <w:snapToGrid w:val="0"/>
        <w:spacing w:line="360" w:lineRule="auto"/>
        <w:ind w:right="480"/>
        <w:jc w:val="center"/>
        <w:rPr>
          <w:rFonts w:ascii="宋体" w:hAnsi="宋体" w:cs="宋体"/>
          <w:b/>
          <w:kern w:val="0"/>
          <w:sz w:val="32"/>
          <w:szCs w:val="32"/>
        </w:rPr>
      </w:pPr>
    </w:p>
    <w:p w14:paraId="70F473F9">
      <w:pPr>
        <w:snapToGrid w:val="0"/>
        <w:spacing w:line="360" w:lineRule="auto"/>
        <w:ind w:right="480"/>
        <w:jc w:val="center"/>
        <w:rPr>
          <w:rFonts w:ascii="宋体" w:hAnsi="宋体" w:cs="宋体"/>
          <w:b/>
          <w:kern w:val="0"/>
          <w:sz w:val="32"/>
          <w:szCs w:val="32"/>
        </w:rPr>
      </w:pPr>
    </w:p>
    <w:p w14:paraId="0783AB74">
      <w:pPr>
        <w:snapToGrid w:val="0"/>
        <w:spacing w:line="360" w:lineRule="auto"/>
        <w:ind w:right="480"/>
        <w:jc w:val="center"/>
        <w:rPr>
          <w:rFonts w:ascii="宋体" w:hAnsi="宋体" w:cs="宋体"/>
          <w:b/>
          <w:kern w:val="0"/>
          <w:sz w:val="32"/>
          <w:szCs w:val="32"/>
        </w:rPr>
      </w:pPr>
    </w:p>
    <w:p w14:paraId="60B4FE52">
      <w:pPr>
        <w:snapToGrid w:val="0"/>
        <w:spacing w:line="360" w:lineRule="auto"/>
        <w:ind w:right="480"/>
        <w:jc w:val="center"/>
        <w:rPr>
          <w:rFonts w:ascii="宋体" w:hAnsi="宋体" w:cs="宋体"/>
          <w:b/>
          <w:kern w:val="0"/>
          <w:sz w:val="32"/>
          <w:szCs w:val="32"/>
        </w:rPr>
      </w:pPr>
    </w:p>
    <w:p w14:paraId="2841949D">
      <w:pPr>
        <w:snapToGrid w:val="0"/>
        <w:spacing w:line="360" w:lineRule="auto"/>
        <w:ind w:right="480"/>
        <w:jc w:val="center"/>
        <w:rPr>
          <w:rFonts w:ascii="宋体" w:hAnsi="宋体" w:cs="宋体"/>
          <w:b/>
          <w:kern w:val="0"/>
          <w:sz w:val="32"/>
          <w:szCs w:val="32"/>
        </w:rPr>
      </w:pPr>
    </w:p>
    <w:p w14:paraId="498FD00C">
      <w:pPr>
        <w:bidi w:val="0"/>
      </w:pPr>
    </w:p>
    <w:p w14:paraId="6A32E3D2">
      <w:pPr>
        <w:snapToGrid w:val="0"/>
        <w:spacing w:line="360" w:lineRule="auto"/>
        <w:ind w:right="480"/>
        <w:jc w:val="center"/>
        <w:rPr>
          <w:rFonts w:ascii="宋体" w:hAnsi="宋体" w:cs="宋体"/>
          <w:b/>
          <w:kern w:val="0"/>
          <w:sz w:val="32"/>
          <w:szCs w:val="32"/>
        </w:rPr>
      </w:pPr>
    </w:p>
    <w:p w14:paraId="2381DFAE">
      <w:pPr>
        <w:spacing w:line="360" w:lineRule="auto"/>
        <w:ind w:right="420" w:firstLine="3614" w:firstLineChars="1000"/>
        <w:rPr>
          <w:rFonts w:ascii="宋体" w:hAnsi="宋体" w:cs="宋体"/>
          <w:b/>
          <w:kern w:val="0"/>
          <w:sz w:val="36"/>
          <w:szCs w:val="36"/>
        </w:rPr>
      </w:pPr>
    </w:p>
    <w:p w14:paraId="5512C236">
      <w:pPr>
        <w:spacing w:line="360" w:lineRule="auto"/>
        <w:ind w:right="420" w:firstLine="3614" w:firstLineChars="1000"/>
        <w:rPr>
          <w:rFonts w:ascii="宋体" w:hAnsi="宋体" w:cs="宋体"/>
          <w:b/>
          <w:kern w:val="0"/>
          <w:sz w:val="36"/>
          <w:szCs w:val="36"/>
        </w:rPr>
      </w:pPr>
    </w:p>
    <w:p w14:paraId="0D9D6370">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1D73E3A">
      <w:pPr>
        <w:pStyle w:val="4"/>
        <w:bidi w:val="0"/>
      </w:pPr>
      <w:bookmarkStart w:id="450" w:name="_Toc18377"/>
      <w:bookmarkStart w:id="451" w:name="_Toc933"/>
      <w:r>
        <w:rPr>
          <w:rFonts w:hint="eastAsia"/>
        </w:rPr>
        <w:t>商务技术文件部分</w:t>
      </w:r>
      <w:bookmarkEnd w:id="450"/>
      <w:bookmarkEnd w:id="451"/>
    </w:p>
    <w:p w14:paraId="42D77662">
      <w:pPr>
        <w:bidi w:val="0"/>
      </w:pPr>
    </w:p>
    <w:p w14:paraId="4B3A4927">
      <w:pPr>
        <w:bidi w:val="0"/>
        <w:ind w:left="0" w:leftChars="0" w:firstLine="0" w:firstLineChars="0"/>
        <w:jc w:val="center"/>
        <w:rPr>
          <w:b/>
          <w:bCs/>
          <w:sz w:val="36"/>
          <w:szCs w:val="36"/>
        </w:rPr>
      </w:pPr>
      <w:r>
        <w:rPr>
          <w:rFonts w:hint="eastAsia"/>
          <w:b/>
          <w:bCs/>
          <w:sz w:val="36"/>
          <w:szCs w:val="36"/>
        </w:rPr>
        <w:t>目录</w:t>
      </w:r>
    </w:p>
    <w:p w14:paraId="387ACD6E">
      <w:pPr>
        <w:numPr>
          <w:ilvl w:val="0"/>
          <w:numId w:val="4"/>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14:paraId="1856ECF0">
      <w:pPr>
        <w:numPr>
          <w:ilvl w:val="0"/>
          <w:numId w:val="4"/>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6E65CB87">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5558782C">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6F125891">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44B91EB2">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）评标标准相应的商务技术资料…………………………………………（页码）（</w:t>
      </w:r>
      <w:r>
        <w:rPr>
          <w:rFonts w:hint="eastAsia" w:ascii="宋体" w:hAnsi="宋体" w:cs="宋体"/>
          <w:sz w:val="24"/>
          <w:lang w:val="en-US" w:eastAsia="zh-CN"/>
        </w:rPr>
        <w:t>7</w:t>
      </w:r>
      <w:r>
        <w:rPr>
          <w:rFonts w:hint="eastAsia" w:ascii="宋体" w:hAnsi="宋体" w:cs="宋体"/>
          <w:sz w:val="24"/>
        </w:rPr>
        <w:t>）商务偏离表………………………………………………………………（页码）（</w:t>
      </w:r>
      <w:r>
        <w:rPr>
          <w:rFonts w:hint="eastAsia" w:ascii="宋体" w:hAnsi="宋体" w:cs="宋体"/>
          <w:sz w:val="24"/>
          <w:lang w:val="en-US" w:eastAsia="zh-CN"/>
        </w:rPr>
        <w:t>8</w:t>
      </w:r>
      <w:r>
        <w:rPr>
          <w:rFonts w:hint="eastAsia" w:ascii="宋体" w:hAnsi="宋体" w:cs="宋体"/>
          <w:sz w:val="24"/>
        </w:rPr>
        <w:t>）技术偏离表………………………………………………………………（页码）</w:t>
      </w:r>
    </w:p>
    <w:p w14:paraId="4D700E0D">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sz w:val="24"/>
        </w:rPr>
        <w:t>………………………………………（页码）</w:t>
      </w:r>
    </w:p>
    <w:p w14:paraId="148CB558">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10）采购</w:t>
      </w:r>
      <w:r>
        <w:rPr>
          <w:rFonts w:hint="eastAsia" w:ascii="宋体" w:hAnsi="宋体" w:cs="宋体"/>
          <w:sz w:val="24"/>
          <w:lang w:val="zh-CN" w:eastAsia="zh-CN"/>
        </w:rPr>
        <w:t>代理服务费支付承诺书</w:t>
      </w:r>
      <w:r>
        <w:rPr>
          <w:rFonts w:hint="eastAsia" w:ascii="宋体" w:hAnsi="宋体" w:cs="宋体"/>
          <w:sz w:val="24"/>
        </w:rPr>
        <w:t>……………………………………………（页码）</w:t>
      </w:r>
    </w:p>
    <w:p w14:paraId="75DE1A01">
      <w:pPr>
        <w:snapToGrid w:val="0"/>
        <w:spacing w:line="360" w:lineRule="auto"/>
        <w:ind w:left="7" w:leftChars="0" w:hanging="7" w:firstLineChars="0"/>
        <w:jc w:val="left"/>
        <w:rPr>
          <w:rFonts w:hint="eastAsia" w:ascii="宋体" w:hAnsi="宋体" w:cs="宋体"/>
          <w:sz w:val="24"/>
        </w:rPr>
      </w:pPr>
    </w:p>
    <w:p w14:paraId="0BD285F6">
      <w:pPr>
        <w:bidi w:val="0"/>
      </w:pPr>
    </w:p>
    <w:p w14:paraId="2575F6F2">
      <w:pPr>
        <w:snapToGrid w:val="0"/>
        <w:spacing w:line="360" w:lineRule="auto"/>
        <w:jc w:val="center"/>
        <w:rPr>
          <w:rFonts w:ascii="宋体" w:hAnsi="宋体" w:cs="宋体"/>
          <w:b/>
          <w:kern w:val="0"/>
          <w:sz w:val="32"/>
          <w:szCs w:val="32"/>
          <w:lang w:val="zh-CN"/>
        </w:rPr>
      </w:pPr>
    </w:p>
    <w:p w14:paraId="37F3E41D">
      <w:pPr>
        <w:snapToGrid w:val="0"/>
        <w:spacing w:line="360" w:lineRule="auto"/>
        <w:jc w:val="center"/>
        <w:rPr>
          <w:rFonts w:ascii="宋体" w:hAnsi="宋体" w:cs="宋体"/>
          <w:b/>
          <w:kern w:val="0"/>
          <w:sz w:val="32"/>
          <w:szCs w:val="32"/>
          <w:lang w:val="zh-CN"/>
        </w:rPr>
      </w:pPr>
    </w:p>
    <w:p w14:paraId="59378574">
      <w:pPr>
        <w:snapToGrid w:val="0"/>
        <w:spacing w:line="360" w:lineRule="auto"/>
        <w:jc w:val="center"/>
        <w:rPr>
          <w:rFonts w:ascii="宋体" w:hAnsi="宋体" w:cs="宋体"/>
          <w:b/>
          <w:kern w:val="0"/>
          <w:sz w:val="32"/>
          <w:szCs w:val="32"/>
          <w:lang w:val="zh-CN"/>
        </w:rPr>
      </w:pPr>
    </w:p>
    <w:p w14:paraId="4A14F9A1">
      <w:pPr>
        <w:snapToGrid w:val="0"/>
        <w:spacing w:line="360" w:lineRule="auto"/>
        <w:jc w:val="center"/>
        <w:rPr>
          <w:rFonts w:ascii="宋体" w:hAnsi="宋体" w:cs="宋体"/>
          <w:b/>
          <w:kern w:val="0"/>
          <w:sz w:val="32"/>
          <w:szCs w:val="32"/>
          <w:lang w:val="zh-CN"/>
        </w:rPr>
      </w:pPr>
    </w:p>
    <w:p w14:paraId="0C36BD1D">
      <w:pPr>
        <w:snapToGrid w:val="0"/>
        <w:spacing w:line="360" w:lineRule="auto"/>
        <w:jc w:val="center"/>
        <w:rPr>
          <w:rFonts w:ascii="宋体" w:hAnsi="宋体" w:cs="宋体"/>
          <w:b/>
          <w:kern w:val="0"/>
          <w:sz w:val="32"/>
          <w:szCs w:val="32"/>
          <w:lang w:val="zh-CN"/>
        </w:rPr>
      </w:pPr>
    </w:p>
    <w:p w14:paraId="45231315">
      <w:pPr>
        <w:snapToGrid w:val="0"/>
        <w:spacing w:line="360" w:lineRule="auto"/>
        <w:jc w:val="center"/>
        <w:rPr>
          <w:rFonts w:ascii="宋体" w:hAnsi="宋体" w:cs="宋体"/>
          <w:b/>
          <w:kern w:val="0"/>
          <w:sz w:val="32"/>
          <w:szCs w:val="32"/>
          <w:lang w:val="zh-CN"/>
        </w:rPr>
      </w:pPr>
    </w:p>
    <w:p w14:paraId="425D44E8">
      <w:pPr>
        <w:snapToGrid w:val="0"/>
        <w:spacing w:line="360" w:lineRule="auto"/>
        <w:jc w:val="center"/>
        <w:rPr>
          <w:rFonts w:ascii="宋体" w:hAnsi="宋体" w:cs="宋体"/>
          <w:b/>
          <w:kern w:val="0"/>
          <w:sz w:val="32"/>
          <w:szCs w:val="32"/>
          <w:lang w:val="zh-CN"/>
        </w:rPr>
      </w:pPr>
    </w:p>
    <w:p w14:paraId="367A8524">
      <w:pPr>
        <w:snapToGrid w:val="0"/>
        <w:spacing w:line="360" w:lineRule="auto"/>
        <w:jc w:val="center"/>
        <w:rPr>
          <w:rFonts w:ascii="宋体" w:hAnsi="宋体" w:cs="宋体"/>
          <w:b/>
          <w:kern w:val="0"/>
          <w:sz w:val="32"/>
          <w:szCs w:val="32"/>
          <w:lang w:val="zh-CN"/>
        </w:rPr>
      </w:pPr>
    </w:p>
    <w:p w14:paraId="102A19E9">
      <w:pPr>
        <w:snapToGrid w:val="0"/>
        <w:spacing w:line="360" w:lineRule="auto"/>
        <w:jc w:val="center"/>
        <w:rPr>
          <w:rFonts w:ascii="宋体" w:hAnsi="宋体" w:cs="宋体"/>
          <w:b/>
          <w:kern w:val="0"/>
          <w:sz w:val="32"/>
          <w:szCs w:val="32"/>
          <w:lang w:val="zh-CN"/>
        </w:rPr>
      </w:pPr>
    </w:p>
    <w:p w14:paraId="43B571C0">
      <w:pPr>
        <w:snapToGrid w:val="0"/>
        <w:spacing w:line="360" w:lineRule="auto"/>
        <w:jc w:val="center"/>
        <w:rPr>
          <w:rFonts w:ascii="宋体" w:hAnsi="宋体" w:cs="宋体"/>
          <w:b/>
          <w:kern w:val="0"/>
          <w:sz w:val="32"/>
          <w:szCs w:val="32"/>
          <w:lang w:val="zh-CN"/>
        </w:rPr>
      </w:pPr>
    </w:p>
    <w:p w14:paraId="582DB8E6">
      <w:pPr>
        <w:pStyle w:val="4"/>
        <w:bidi w:val="0"/>
      </w:pPr>
      <w:bookmarkStart w:id="452" w:name="_Toc624"/>
      <w:bookmarkStart w:id="453" w:name="_Toc8786"/>
      <w:r>
        <w:rPr>
          <w:rFonts w:hint="eastAsia"/>
        </w:rPr>
        <w:t>一、投标函</w:t>
      </w:r>
      <w:bookmarkEnd w:id="452"/>
      <w:bookmarkEnd w:id="453"/>
    </w:p>
    <w:p w14:paraId="51694815">
      <w:pPr>
        <w:snapToGrid w:val="0"/>
        <w:spacing w:line="360" w:lineRule="auto"/>
        <w:ind w:left="0" w:leftChars="0" w:firstLine="0" w:firstLineChars="0"/>
        <w:rPr>
          <w:rFonts w:ascii="宋体" w:hAnsi="宋体" w:cs="宋体"/>
          <w:sz w:val="24"/>
        </w:rPr>
      </w:pPr>
      <w:r>
        <w:rPr>
          <w:rFonts w:hint="eastAsia" w:ascii="宋体" w:hAnsi="宋体" w:cs="宋体"/>
          <w:sz w:val="24"/>
        </w:rPr>
        <w:t>（采购人）、（采购代理机构）：</w:t>
      </w:r>
    </w:p>
    <w:p w14:paraId="08AEAE5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14:paraId="62DA027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6D6454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E5C0F3F">
      <w:pPr>
        <w:snapToGrid w:val="0"/>
        <w:spacing w:line="360" w:lineRule="auto"/>
        <w:ind w:left="240" w:leftChars="100" w:firstLine="480" w:firstLineChars="200"/>
        <w:rPr>
          <w:rFonts w:ascii="宋体" w:hAnsi="宋体" w:cs="宋体"/>
          <w:sz w:val="24"/>
        </w:rPr>
      </w:pPr>
      <w:r>
        <w:rPr>
          <w:rFonts w:hint="eastAsia" w:ascii="宋体" w:hAnsi="宋体" w:cs="宋体"/>
          <w:sz w:val="24"/>
        </w:rPr>
        <w:t>2.1资格文件：</w:t>
      </w:r>
    </w:p>
    <w:p w14:paraId="6244F38F">
      <w:pPr>
        <w:snapToGrid w:val="0"/>
        <w:spacing w:line="360" w:lineRule="auto"/>
        <w:ind w:left="480" w:leftChars="200" w:firstLine="480" w:firstLineChars="200"/>
        <w:rPr>
          <w:rFonts w:ascii="宋体" w:hAnsi="宋体" w:cs="宋体"/>
          <w:sz w:val="24"/>
        </w:rPr>
      </w:pPr>
      <w:r>
        <w:rPr>
          <w:rFonts w:hint="eastAsia" w:ascii="宋体" w:hAnsi="宋体" w:cs="宋体"/>
          <w:sz w:val="24"/>
        </w:rPr>
        <w:t>2.1.1承诺函；</w:t>
      </w:r>
    </w:p>
    <w:p w14:paraId="3C9E8CAC">
      <w:pPr>
        <w:snapToGrid w:val="0"/>
        <w:spacing w:line="360" w:lineRule="auto"/>
        <w:ind w:left="48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54" w:name="_Hlk101257010"/>
      <w:r>
        <w:rPr>
          <w:rFonts w:hint="eastAsia" w:ascii="宋体" w:hAnsi="宋体" w:cs="宋体"/>
          <w:snapToGrid w:val="0"/>
          <w:kern w:val="28"/>
          <w:sz w:val="24"/>
          <w:szCs w:val="20"/>
        </w:rPr>
        <w:t>（如有)</w:t>
      </w:r>
      <w:bookmarkEnd w:id="454"/>
    </w:p>
    <w:p w14:paraId="43233E1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14:paraId="40521A09">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14:paraId="4F66A9DD">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4CD53E7">
      <w:pPr>
        <w:snapToGrid w:val="0"/>
        <w:spacing w:line="360" w:lineRule="auto"/>
        <w:ind w:left="48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2C42577">
      <w:pPr>
        <w:snapToGrid w:val="0"/>
        <w:spacing w:line="360" w:lineRule="auto"/>
        <w:ind w:left="48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0893EAF">
      <w:pPr>
        <w:snapToGrid w:val="0"/>
        <w:spacing w:line="360" w:lineRule="auto"/>
        <w:ind w:left="48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p>
    <w:p w14:paraId="008DA7F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14:paraId="52F80CF8">
      <w:pPr>
        <w:snapToGrid w:val="0"/>
        <w:spacing w:line="360" w:lineRule="auto"/>
        <w:ind w:left="480" w:leftChars="200" w:firstLine="480" w:firstLineChars="200"/>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中小企业声明函（如有）</w:t>
      </w:r>
      <w:r>
        <w:rPr>
          <w:rFonts w:hint="eastAsia" w:ascii="宋体" w:hAnsi="宋体" w:cs="宋体"/>
          <w:color w:val="auto"/>
          <w:sz w:val="24"/>
          <w:lang w:eastAsia="zh-CN"/>
        </w:rPr>
        <w:t>；</w:t>
      </w:r>
    </w:p>
    <w:p w14:paraId="4C0FC13F">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评标标准相应的商务技术资料；</w:t>
      </w:r>
    </w:p>
    <w:p w14:paraId="2A454F1C">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7</w:t>
      </w:r>
      <w:r>
        <w:rPr>
          <w:rFonts w:hint="eastAsia" w:ascii="宋体" w:hAnsi="宋体" w:eastAsia="宋体" w:cs="宋体"/>
          <w:color w:val="auto"/>
          <w:sz w:val="24"/>
        </w:rPr>
        <w:t>商务偏离表；</w:t>
      </w:r>
    </w:p>
    <w:p w14:paraId="489EDCC1">
      <w:pPr>
        <w:snapToGrid w:val="0"/>
        <w:spacing w:line="360" w:lineRule="auto"/>
        <w:ind w:left="480" w:leftChars="200" w:firstLine="480" w:firstLineChars="200"/>
        <w:rPr>
          <w:rFonts w:hint="eastAsia"/>
          <w:color w:val="auto"/>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rPr>
        <w:t>技术偏离表；</w:t>
      </w:r>
    </w:p>
    <w:p w14:paraId="1A07BFE5">
      <w:pPr>
        <w:snapToGrid w:val="0"/>
        <w:spacing w:line="360" w:lineRule="auto"/>
        <w:ind w:left="48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1C2DECDE">
      <w:pPr>
        <w:snapToGrid w:val="0"/>
        <w:spacing w:line="360" w:lineRule="auto"/>
        <w:ind w:left="480" w:leftChars="200" w:firstLine="480" w:firstLineChars="200"/>
        <w:rPr>
          <w:rFonts w:hint="default" w:ascii="宋体" w:hAnsi="宋体" w:cs="宋体"/>
          <w:color w:val="auto"/>
          <w:sz w:val="24"/>
          <w:lang w:val="en-US"/>
        </w:rPr>
      </w:pPr>
      <w:r>
        <w:rPr>
          <w:rFonts w:hint="eastAsia" w:ascii="宋体" w:hAnsi="宋体" w:cs="宋体"/>
          <w:color w:val="auto"/>
          <w:sz w:val="24"/>
          <w:lang w:val="en-US" w:eastAsia="zh-CN"/>
        </w:rPr>
        <w:t>2.2.10采购</w:t>
      </w:r>
      <w:r>
        <w:rPr>
          <w:rFonts w:hint="eastAsia" w:ascii="宋体" w:hAnsi="宋体" w:cs="宋体"/>
          <w:color w:val="auto"/>
          <w:sz w:val="24"/>
          <w:lang w:val="zh-CN" w:eastAsia="zh-CN"/>
        </w:rPr>
        <w:t>代理服务费支付承诺书</w:t>
      </w:r>
      <w:r>
        <w:rPr>
          <w:rFonts w:hint="eastAsia" w:ascii="宋体" w:hAnsi="宋体" w:cs="宋体"/>
          <w:color w:val="auto"/>
          <w:sz w:val="24"/>
          <w:lang w:val="en-US" w:eastAsia="zh-CN"/>
        </w:rPr>
        <w:t>.</w:t>
      </w:r>
    </w:p>
    <w:p w14:paraId="315A4A35">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51D82C3">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07E0167">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3.2</w:t>
      </w:r>
      <w:r>
        <w:rPr>
          <w:rFonts w:hint="eastAsia" w:ascii="宋体" w:hAnsi="宋体" w:eastAsia="宋体" w:cs="宋体"/>
          <w:color w:val="auto"/>
          <w:sz w:val="24"/>
        </w:rPr>
        <w:t>报价情况说明（如</w:t>
      </w:r>
      <w:r>
        <w:rPr>
          <w:rFonts w:hint="eastAsia" w:ascii="宋体" w:hAnsi="宋体" w:cs="宋体"/>
          <w:color w:val="auto"/>
          <w:sz w:val="24"/>
          <w:lang w:val="en-US" w:eastAsia="zh-CN"/>
        </w:rPr>
        <w:t>有</w:t>
      </w:r>
      <w:r>
        <w:rPr>
          <w:rFonts w:hint="eastAsia" w:ascii="宋体" w:hAnsi="宋体" w:eastAsia="宋体" w:cs="宋体"/>
          <w:color w:val="auto"/>
          <w:sz w:val="24"/>
        </w:rPr>
        <w:t>）</w:t>
      </w:r>
      <w:r>
        <w:rPr>
          <w:rFonts w:hint="eastAsia" w:ascii="宋体" w:hAnsi="宋体" w:cs="宋体"/>
          <w:color w:val="auto"/>
          <w:sz w:val="24"/>
          <w:lang w:eastAsia="zh-CN"/>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4E4CEF">
      <w:pPr>
        <w:pStyle w:val="24"/>
        <w:numPr>
          <w:ilvl w:val="0"/>
          <w:numId w:val="0"/>
        </w:numPr>
      </w:pPr>
    </w:p>
    <w:p w14:paraId="341B66A9">
      <w:pPr>
        <w:pStyle w:val="24"/>
        <w:numPr>
          <w:ilvl w:val="0"/>
          <w:numId w:val="0"/>
        </w:numPr>
      </w:pPr>
    </w:p>
    <w:p w14:paraId="22E5CB2E">
      <w:pPr>
        <w:pStyle w:val="60"/>
      </w:pPr>
    </w:p>
    <w:p w14:paraId="766EAB4D"/>
    <w:p w14:paraId="04056614">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14:paraId="36B98BCC">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14:paraId="0358FEF0">
      <w:pPr>
        <w:snapToGrid w:val="0"/>
        <w:spacing w:line="360" w:lineRule="auto"/>
        <w:ind w:left="480" w:leftChars="200" w:firstLine="4200" w:firstLineChars="1750"/>
        <w:rPr>
          <w:rFonts w:ascii="宋体" w:hAnsi="宋体" w:cs="宋体"/>
          <w:kern w:val="0"/>
          <w:sz w:val="24"/>
          <w:u w:val="single"/>
        </w:rPr>
      </w:pPr>
    </w:p>
    <w:p w14:paraId="19FA3521">
      <w:pPr>
        <w:spacing w:line="360" w:lineRule="auto"/>
        <w:ind w:right="420"/>
        <w:rPr>
          <w:rFonts w:ascii="宋体" w:hAnsi="宋体" w:cs="宋体"/>
          <w:sz w:val="24"/>
        </w:rPr>
      </w:pPr>
      <w:r>
        <w:rPr>
          <w:rFonts w:hint="eastAsia" w:ascii="宋体" w:hAnsi="宋体" w:cs="宋体"/>
          <w:sz w:val="24"/>
        </w:rPr>
        <w:t>注：按本格式和要求提供。</w:t>
      </w:r>
    </w:p>
    <w:p w14:paraId="1A333F19">
      <w:pPr>
        <w:snapToGrid w:val="0"/>
        <w:spacing w:line="360" w:lineRule="auto"/>
        <w:jc w:val="center"/>
        <w:rPr>
          <w:rFonts w:ascii="宋体" w:hAnsi="宋体" w:cs="宋体"/>
          <w:b/>
          <w:kern w:val="0"/>
          <w:sz w:val="32"/>
          <w:szCs w:val="32"/>
        </w:rPr>
      </w:pPr>
    </w:p>
    <w:p w14:paraId="147AC535">
      <w:pPr>
        <w:snapToGrid w:val="0"/>
        <w:spacing w:line="360" w:lineRule="auto"/>
        <w:rPr>
          <w:rFonts w:ascii="宋体" w:hAnsi="宋体" w:cs="宋体"/>
          <w:sz w:val="24"/>
        </w:rPr>
      </w:pPr>
    </w:p>
    <w:p w14:paraId="29DAC3E0">
      <w:pPr>
        <w:jc w:val="center"/>
        <w:rPr>
          <w:rFonts w:ascii="宋体" w:hAnsi="宋体" w:cs="宋体"/>
          <w:b/>
          <w:kern w:val="0"/>
          <w:sz w:val="32"/>
          <w:szCs w:val="32"/>
        </w:rPr>
      </w:pPr>
    </w:p>
    <w:p w14:paraId="5F351151">
      <w:pPr>
        <w:jc w:val="center"/>
        <w:rPr>
          <w:rFonts w:ascii="宋体" w:hAnsi="宋体" w:cs="宋体"/>
          <w:b/>
          <w:kern w:val="0"/>
          <w:sz w:val="32"/>
          <w:szCs w:val="32"/>
        </w:rPr>
      </w:pPr>
    </w:p>
    <w:p w14:paraId="434E19D5">
      <w:pPr>
        <w:jc w:val="center"/>
        <w:rPr>
          <w:rFonts w:ascii="宋体" w:hAnsi="宋体" w:cs="宋体"/>
          <w:b/>
          <w:kern w:val="0"/>
          <w:sz w:val="32"/>
          <w:szCs w:val="32"/>
        </w:rPr>
      </w:pPr>
    </w:p>
    <w:p w14:paraId="3BF5ECC8">
      <w:pPr>
        <w:jc w:val="center"/>
        <w:rPr>
          <w:rFonts w:ascii="宋体" w:hAnsi="宋体" w:cs="宋体"/>
          <w:b/>
          <w:kern w:val="0"/>
          <w:sz w:val="32"/>
          <w:szCs w:val="32"/>
        </w:rPr>
      </w:pPr>
    </w:p>
    <w:p w14:paraId="041AB436">
      <w:pPr>
        <w:jc w:val="center"/>
        <w:rPr>
          <w:rFonts w:ascii="宋体" w:hAnsi="宋体" w:cs="宋体"/>
          <w:b/>
          <w:kern w:val="0"/>
          <w:sz w:val="32"/>
          <w:szCs w:val="32"/>
        </w:rPr>
      </w:pPr>
    </w:p>
    <w:p w14:paraId="24DB5764">
      <w:pPr>
        <w:jc w:val="center"/>
        <w:rPr>
          <w:rFonts w:ascii="宋体" w:hAnsi="宋体" w:cs="宋体"/>
          <w:b/>
          <w:kern w:val="0"/>
          <w:sz w:val="32"/>
          <w:szCs w:val="32"/>
        </w:rPr>
      </w:pPr>
    </w:p>
    <w:p w14:paraId="6343483C">
      <w:pPr>
        <w:pStyle w:val="4"/>
        <w:bidi w:val="0"/>
        <w:rPr>
          <w:lang w:val="zh-CN"/>
        </w:rPr>
      </w:pPr>
      <w:bookmarkStart w:id="455" w:name="_Toc27417"/>
      <w:bookmarkStart w:id="456" w:name="_Toc17110"/>
      <w:r>
        <w:rPr>
          <w:rFonts w:hint="eastAsia"/>
          <w:lang w:val="zh-CN"/>
        </w:rPr>
        <w:t>二、授权委托书或法定代表人（单位负责人、自然人本人）身份证明</w:t>
      </w:r>
      <w:bookmarkEnd w:id="455"/>
      <w:bookmarkEnd w:id="456"/>
    </w:p>
    <w:p w14:paraId="5CA14BF8">
      <w:pPr>
        <w:snapToGrid w:val="0"/>
        <w:spacing w:line="360" w:lineRule="auto"/>
        <w:rPr>
          <w:rFonts w:ascii="宋体" w:hAnsi="宋体" w:cs="宋体"/>
          <w:sz w:val="24"/>
        </w:rPr>
      </w:pPr>
      <w:r>
        <w:rPr>
          <w:rFonts w:hint="eastAsia" w:ascii="宋体" w:hAnsi="宋体" w:cs="宋体"/>
          <w:sz w:val="24"/>
        </w:rPr>
        <w:t xml:space="preserve">                                </w:t>
      </w:r>
    </w:p>
    <w:p w14:paraId="7E0C88BD">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15AEAB8C">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FA0D46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7361DF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AB2E2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E21F15">
      <w:pPr>
        <w:pStyle w:val="153"/>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48302CA">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57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9207" w:type="dxa"/>
          </w:tcPr>
          <w:p w14:paraId="21CBE5CF">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01F3A77C">
            <w:pPr>
              <w:pStyle w:val="153"/>
              <w:adjustRightInd w:val="0"/>
              <w:spacing w:line="360" w:lineRule="auto"/>
              <w:rPr>
                <w:rFonts w:hAnsi="宋体" w:cs="宋体"/>
                <w:bCs/>
                <w:sz w:val="24"/>
              </w:rPr>
            </w:pPr>
          </w:p>
        </w:tc>
      </w:tr>
    </w:tbl>
    <w:p w14:paraId="6589C9B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A8ED53C">
      <w:pPr>
        <w:pStyle w:val="24"/>
        <w:rPr>
          <w:rFonts w:hint="eastAsia"/>
          <w:lang w:val="zh-CN"/>
        </w:rPr>
      </w:pPr>
    </w:p>
    <w:p w14:paraId="1C57FB67">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14:paraId="0470932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7FDDE4F">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69569D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5696960">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84EE0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DAD676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A9CB58">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8CEABBC">
      <w:pPr>
        <w:pStyle w:val="153"/>
        <w:spacing w:line="360" w:lineRule="auto"/>
        <w:rPr>
          <w:rFonts w:hint="eastAsia" w:ascii="宋体" w:hAnsi="宋体" w:eastAsia="宋体" w:cs="宋体"/>
          <w:color w:val="auto"/>
          <w:kern w:val="0"/>
          <w:sz w:val="24"/>
          <w:highlight w:val="none"/>
          <w:lang w:val="zh-CN"/>
        </w:rPr>
      </w:pPr>
    </w:p>
    <w:p w14:paraId="37E68BCE">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07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DB2675">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24E8AE40">
            <w:pPr>
              <w:pStyle w:val="153"/>
              <w:adjustRightInd w:val="0"/>
              <w:spacing w:line="360" w:lineRule="auto"/>
              <w:rPr>
                <w:rFonts w:hAnsi="宋体" w:cs="宋体"/>
                <w:bCs/>
                <w:sz w:val="24"/>
              </w:rPr>
            </w:pPr>
          </w:p>
        </w:tc>
      </w:tr>
    </w:tbl>
    <w:p w14:paraId="0D9553E7">
      <w:pPr>
        <w:jc w:val="center"/>
        <w:rPr>
          <w:rFonts w:ascii="宋体" w:hAnsi="宋体" w:cs="宋体"/>
          <w:b/>
          <w:kern w:val="0"/>
          <w:sz w:val="32"/>
          <w:szCs w:val="32"/>
        </w:rPr>
      </w:pPr>
    </w:p>
    <w:p w14:paraId="3D7D8E2F">
      <w:pPr>
        <w:rPr>
          <w:rFonts w:ascii="宋体" w:hAnsi="宋体" w:cs="宋体"/>
        </w:rPr>
      </w:pPr>
    </w:p>
    <w:p w14:paraId="73A8A81D">
      <w:pPr>
        <w:pStyle w:val="24"/>
      </w:pPr>
    </w:p>
    <w:p w14:paraId="3D63B04C">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5CB16A21">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3A95ED8">
      <w:pPr>
        <w:snapToGrid w:val="0"/>
        <w:spacing w:line="360" w:lineRule="auto"/>
        <w:ind w:firstLine="4080" w:firstLineChars="1700"/>
        <w:rPr>
          <w:rFonts w:ascii="宋体" w:hAnsi="宋体" w:cs="宋体"/>
        </w:rPr>
      </w:pPr>
      <w:r>
        <w:rPr>
          <w:rFonts w:hint="eastAsia" w:ascii="宋体" w:hAnsi="宋体" w:cs="宋体"/>
          <w:kern w:val="0"/>
          <w:sz w:val="24"/>
          <w:lang w:val="zh-CN"/>
        </w:rPr>
        <w:t>……</w:t>
      </w:r>
    </w:p>
    <w:p w14:paraId="478D1BF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87644F3">
      <w:pPr>
        <w:autoSpaceDE w:val="0"/>
        <w:autoSpaceDN w:val="0"/>
        <w:spacing w:line="360" w:lineRule="auto"/>
        <w:jc w:val="center"/>
        <w:rPr>
          <w:rFonts w:ascii="宋体" w:hAnsi="宋体" w:cs="宋体"/>
          <w:b/>
          <w:kern w:val="0"/>
          <w:sz w:val="32"/>
          <w:szCs w:val="32"/>
          <w:lang w:val="zh-CN"/>
        </w:rPr>
      </w:pPr>
    </w:p>
    <w:p w14:paraId="1838F575">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3B49901">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C9BA996">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F5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0B8CE0">
            <w:pPr>
              <w:pStyle w:val="153"/>
              <w:adjustRightInd w:val="0"/>
              <w:spacing w:line="360" w:lineRule="auto"/>
              <w:rPr>
                <w:rFonts w:hAnsi="宋体" w:cs="宋体"/>
                <w:bCs/>
                <w:sz w:val="24"/>
              </w:rPr>
            </w:pPr>
            <w:r>
              <w:rPr>
                <w:rFonts w:hint="eastAsia" w:hAnsi="宋体" w:cs="宋体"/>
                <w:bCs/>
                <w:sz w:val="24"/>
              </w:rPr>
              <w:t>正面：                                 反面：</w:t>
            </w:r>
          </w:p>
          <w:p w14:paraId="270420EC">
            <w:pPr>
              <w:pStyle w:val="153"/>
              <w:adjustRightInd w:val="0"/>
              <w:spacing w:line="360" w:lineRule="auto"/>
              <w:rPr>
                <w:rFonts w:hAnsi="宋体" w:cs="宋体"/>
                <w:bCs/>
                <w:sz w:val="24"/>
              </w:rPr>
            </w:pPr>
          </w:p>
        </w:tc>
      </w:tr>
    </w:tbl>
    <w:p w14:paraId="7C42E24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1ED11C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161157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0A0AC9">
      <w:pPr>
        <w:jc w:val="center"/>
        <w:rPr>
          <w:rFonts w:ascii="宋体" w:hAnsi="宋体" w:cs="宋体"/>
          <w:b/>
          <w:kern w:val="0"/>
          <w:sz w:val="32"/>
          <w:szCs w:val="32"/>
        </w:rPr>
      </w:pPr>
    </w:p>
    <w:p w14:paraId="738C5B09">
      <w:pPr>
        <w:jc w:val="center"/>
        <w:rPr>
          <w:rFonts w:ascii="宋体" w:hAnsi="宋体" w:cs="宋体"/>
          <w:b/>
          <w:kern w:val="0"/>
          <w:sz w:val="32"/>
          <w:szCs w:val="32"/>
        </w:rPr>
      </w:pPr>
    </w:p>
    <w:p w14:paraId="6155DB82">
      <w:pPr>
        <w:jc w:val="center"/>
        <w:rPr>
          <w:rFonts w:ascii="宋体" w:hAnsi="宋体" w:cs="宋体"/>
          <w:b/>
          <w:kern w:val="0"/>
          <w:sz w:val="32"/>
          <w:szCs w:val="32"/>
        </w:rPr>
      </w:pPr>
    </w:p>
    <w:p w14:paraId="25A5A315">
      <w:pPr>
        <w:jc w:val="center"/>
        <w:rPr>
          <w:rFonts w:ascii="宋体" w:hAnsi="宋体" w:cs="宋体"/>
          <w:b/>
          <w:kern w:val="0"/>
          <w:sz w:val="32"/>
          <w:szCs w:val="32"/>
        </w:rPr>
      </w:pPr>
    </w:p>
    <w:p w14:paraId="3F8F4A21">
      <w:pPr>
        <w:jc w:val="center"/>
        <w:rPr>
          <w:rFonts w:ascii="宋体" w:hAnsi="宋体" w:cs="宋体"/>
          <w:b/>
          <w:kern w:val="0"/>
          <w:sz w:val="32"/>
          <w:szCs w:val="32"/>
        </w:rPr>
      </w:pPr>
    </w:p>
    <w:p w14:paraId="4DBFA446">
      <w:pPr>
        <w:jc w:val="center"/>
        <w:rPr>
          <w:rFonts w:ascii="宋体" w:hAnsi="宋体" w:cs="宋体"/>
          <w:b/>
          <w:kern w:val="0"/>
          <w:sz w:val="32"/>
          <w:szCs w:val="32"/>
        </w:rPr>
      </w:pPr>
    </w:p>
    <w:p w14:paraId="5333FE73">
      <w:pPr>
        <w:jc w:val="center"/>
        <w:rPr>
          <w:rFonts w:ascii="宋体" w:hAnsi="宋体" w:cs="宋体"/>
          <w:b/>
          <w:kern w:val="0"/>
          <w:sz w:val="32"/>
          <w:szCs w:val="32"/>
        </w:rPr>
      </w:pPr>
    </w:p>
    <w:p w14:paraId="41CE32FD">
      <w:pPr>
        <w:jc w:val="center"/>
        <w:rPr>
          <w:rFonts w:ascii="宋体" w:hAnsi="宋体" w:cs="宋体"/>
          <w:b/>
          <w:kern w:val="0"/>
          <w:sz w:val="32"/>
          <w:szCs w:val="32"/>
        </w:rPr>
      </w:pPr>
    </w:p>
    <w:p w14:paraId="686FEF27">
      <w:pPr>
        <w:jc w:val="center"/>
        <w:rPr>
          <w:rFonts w:ascii="宋体" w:hAnsi="宋体" w:cs="宋体"/>
          <w:b/>
          <w:kern w:val="0"/>
          <w:sz w:val="32"/>
          <w:szCs w:val="32"/>
        </w:rPr>
      </w:pPr>
    </w:p>
    <w:p w14:paraId="135F1E4F">
      <w:pPr>
        <w:pStyle w:val="4"/>
        <w:bidi w:val="0"/>
      </w:pPr>
      <w:bookmarkStart w:id="457" w:name="_Toc26755"/>
      <w:bookmarkStart w:id="458" w:name="_Toc12686"/>
      <w:r>
        <w:rPr>
          <w:rFonts w:hint="eastAsia"/>
          <w:lang w:val="en-US" w:eastAsia="zh-CN"/>
        </w:rPr>
        <w:t>三</w:t>
      </w:r>
      <w:r>
        <w:rPr>
          <w:rFonts w:hint="eastAsia"/>
        </w:rPr>
        <w:t>、联合协议（如有）</w:t>
      </w:r>
      <w:bookmarkEnd w:id="457"/>
      <w:bookmarkEnd w:id="458"/>
    </w:p>
    <w:p w14:paraId="4A6D4C6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EC2F29B">
      <w:pPr>
        <w:pStyle w:val="3"/>
        <w:bidi w:val="0"/>
        <w:rPr>
          <w:rFonts w:hint="eastAsia"/>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26F36C7">
      <w:pPr>
        <w:pStyle w:val="4"/>
        <w:bidi w:val="0"/>
      </w:pPr>
      <w:bookmarkStart w:id="459" w:name="_Toc15871"/>
      <w:bookmarkStart w:id="460" w:name="_Toc11086"/>
      <w:r>
        <w:rPr>
          <w:rFonts w:hint="eastAsia"/>
          <w:lang w:val="en-US" w:eastAsia="zh-CN"/>
        </w:rPr>
        <w:t>四</w:t>
      </w:r>
      <w:r>
        <w:rPr>
          <w:rFonts w:hint="eastAsia"/>
        </w:rPr>
        <w:t>、分包意向协议（如有）</w:t>
      </w:r>
      <w:bookmarkEnd w:id="459"/>
      <w:bookmarkEnd w:id="460"/>
    </w:p>
    <w:p w14:paraId="22B1E49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839DB9E">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50CA768">
      <w:pPr>
        <w:pStyle w:val="4"/>
        <w:bidi w:val="0"/>
      </w:pPr>
      <w:bookmarkStart w:id="461" w:name="_Toc29359"/>
      <w:bookmarkStart w:id="462" w:name="_Toc20008"/>
      <w:r>
        <w:rPr>
          <w:rFonts w:hint="eastAsia"/>
          <w:lang w:val="en-US" w:eastAsia="zh-CN"/>
        </w:rPr>
        <w:t>五</w:t>
      </w:r>
      <w:r>
        <w:rPr>
          <w:rFonts w:hint="eastAsia"/>
        </w:rPr>
        <w:t>、中小企业声明函（如有）</w:t>
      </w:r>
    </w:p>
    <w:p w14:paraId="5E77D197">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3043D46">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27AE1D3">
      <w:pPr>
        <w:pStyle w:val="4"/>
        <w:bidi w:val="0"/>
        <w:rPr>
          <w:rFonts w:hint="eastAsia"/>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049F469">
      <w:pPr>
        <w:pStyle w:val="4"/>
        <w:bidi w:val="0"/>
      </w:pPr>
      <w:r>
        <w:rPr>
          <w:rFonts w:hint="eastAsia"/>
          <w:lang w:val="en-US" w:eastAsia="zh-CN"/>
        </w:rPr>
        <w:t>六</w:t>
      </w:r>
      <w:r>
        <w:rPr>
          <w:rFonts w:hint="eastAsia"/>
        </w:rPr>
        <w:t>、评标标准相应的商务技术资料</w:t>
      </w:r>
      <w:bookmarkEnd w:id="461"/>
      <w:bookmarkEnd w:id="462"/>
    </w:p>
    <w:p w14:paraId="49C096DC">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14:paraId="45FBBF36">
      <w:pPr>
        <w:jc w:val="center"/>
        <w:rPr>
          <w:rFonts w:ascii="宋体" w:hAnsi="宋体" w:cs="宋体"/>
          <w:b/>
          <w:kern w:val="0"/>
          <w:sz w:val="32"/>
          <w:szCs w:val="32"/>
        </w:rPr>
      </w:pPr>
    </w:p>
    <w:p w14:paraId="0A6E02AA">
      <w:pPr>
        <w:jc w:val="center"/>
        <w:rPr>
          <w:rFonts w:ascii="宋体" w:hAnsi="宋体" w:cs="宋体"/>
          <w:b/>
          <w:kern w:val="0"/>
          <w:sz w:val="32"/>
          <w:szCs w:val="32"/>
        </w:rPr>
      </w:pPr>
    </w:p>
    <w:p w14:paraId="4269ACC2">
      <w:pPr>
        <w:jc w:val="center"/>
        <w:rPr>
          <w:rFonts w:ascii="宋体" w:hAnsi="宋体" w:cs="宋体"/>
          <w:b/>
          <w:kern w:val="0"/>
          <w:sz w:val="32"/>
          <w:szCs w:val="32"/>
        </w:rPr>
      </w:pPr>
    </w:p>
    <w:p w14:paraId="088E8686">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6485D9">
      <w:pPr>
        <w:pStyle w:val="4"/>
        <w:bidi w:val="0"/>
      </w:pPr>
      <w:bookmarkStart w:id="463" w:name="_Toc18478"/>
      <w:bookmarkStart w:id="464" w:name="_Toc10001"/>
      <w:bookmarkStart w:id="465" w:name="_Toc5985"/>
      <w:r>
        <w:rPr>
          <w:rFonts w:hint="eastAsia"/>
          <w:lang w:val="en-US" w:eastAsia="zh-CN"/>
        </w:rPr>
        <w:t>七、</w:t>
      </w:r>
      <w:r>
        <w:rPr>
          <w:rFonts w:hint="eastAsia"/>
        </w:rPr>
        <w:t>商务</w:t>
      </w:r>
      <w:r>
        <w:rPr>
          <w:rFonts w:hint="eastAsia"/>
          <w:lang w:val="en-US" w:eastAsia="zh-CN"/>
        </w:rPr>
        <w:t>偏离</w:t>
      </w:r>
      <w:r>
        <w:rPr>
          <w:rFonts w:hint="eastAsia"/>
        </w:rPr>
        <w:t>表</w:t>
      </w:r>
      <w:bookmarkEnd w:id="463"/>
      <w:bookmarkEnd w:id="464"/>
      <w:bookmarkEnd w:id="465"/>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AE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C950DC">
            <w:pPr>
              <w:pStyle w:val="144"/>
              <w:widowControl w:val="0"/>
              <w:bidi w:val="0"/>
              <w:rPr>
                <w:b/>
                <w:bCs/>
              </w:rPr>
            </w:pPr>
            <w:r>
              <w:rPr>
                <w:rFonts w:hint="eastAsia"/>
                <w:b/>
                <w:bCs/>
              </w:rPr>
              <w:t>序号</w:t>
            </w:r>
          </w:p>
        </w:tc>
        <w:tc>
          <w:tcPr>
            <w:tcW w:w="3683" w:type="dxa"/>
            <w:noWrap w:val="0"/>
            <w:vAlign w:val="top"/>
          </w:tcPr>
          <w:p w14:paraId="4E56EB5C">
            <w:pPr>
              <w:pStyle w:val="144"/>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482F2180">
            <w:pPr>
              <w:pStyle w:val="144"/>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548C86B2">
            <w:pPr>
              <w:pStyle w:val="144"/>
              <w:widowControl w:val="0"/>
              <w:bidi w:val="0"/>
              <w:rPr>
                <w:b/>
                <w:bCs/>
              </w:rPr>
            </w:pPr>
            <w:r>
              <w:rPr>
                <w:rFonts w:hint="eastAsia"/>
                <w:b/>
                <w:bCs/>
              </w:rPr>
              <w:t>偏离情况</w:t>
            </w:r>
          </w:p>
        </w:tc>
      </w:tr>
      <w:tr w14:paraId="18CA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E480729">
            <w:pPr>
              <w:pStyle w:val="144"/>
              <w:widowControl w:val="0"/>
              <w:bidi w:val="0"/>
              <w:rPr>
                <w:b/>
                <w:bCs/>
              </w:rPr>
            </w:pPr>
            <w:r>
              <w:rPr>
                <w:rFonts w:hint="eastAsia"/>
                <w:b/>
                <w:bCs/>
              </w:rPr>
              <w:t>1</w:t>
            </w:r>
          </w:p>
        </w:tc>
        <w:tc>
          <w:tcPr>
            <w:tcW w:w="3683" w:type="dxa"/>
            <w:noWrap w:val="0"/>
            <w:vAlign w:val="top"/>
          </w:tcPr>
          <w:p w14:paraId="6037D35A">
            <w:pPr>
              <w:pStyle w:val="144"/>
              <w:widowControl w:val="0"/>
              <w:bidi w:val="0"/>
              <w:rPr>
                <w:b/>
                <w:bCs/>
              </w:rPr>
            </w:pPr>
          </w:p>
        </w:tc>
        <w:tc>
          <w:tcPr>
            <w:tcW w:w="3546" w:type="dxa"/>
            <w:noWrap w:val="0"/>
            <w:vAlign w:val="top"/>
          </w:tcPr>
          <w:p w14:paraId="22198E75">
            <w:pPr>
              <w:pStyle w:val="144"/>
              <w:widowControl w:val="0"/>
              <w:bidi w:val="0"/>
              <w:rPr>
                <w:b/>
                <w:bCs/>
              </w:rPr>
            </w:pPr>
          </w:p>
        </w:tc>
        <w:tc>
          <w:tcPr>
            <w:tcW w:w="1276" w:type="dxa"/>
            <w:noWrap w:val="0"/>
            <w:vAlign w:val="top"/>
          </w:tcPr>
          <w:p w14:paraId="6135B61F">
            <w:pPr>
              <w:pStyle w:val="144"/>
              <w:widowControl w:val="0"/>
              <w:bidi w:val="0"/>
              <w:rPr>
                <w:b/>
                <w:bCs/>
              </w:rPr>
            </w:pPr>
          </w:p>
        </w:tc>
      </w:tr>
      <w:tr w14:paraId="406E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7FF603">
            <w:pPr>
              <w:pStyle w:val="144"/>
              <w:widowControl w:val="0"/>
              <w:bidi w:val="0"/>
              <w:rPr>
                <w:b/>
                <w:bCs/>
              </w:rPr>
            </w:pPr>
            <w:r>
              <w:rPr>
                <w:rFonts w:hint="eastAsia"/>
                <w:b/>
                <w:bCs/>
              </w:rPr>
              <w:t>2</w:t>
            </w:r>
          </w:p>
        </w:tc>
        <w:tc>
          <w:tcPr>
            <w:tcW w:w="3683" w:type="dxa"/>
            <w:noWrap w:val="0"/>
            <w:vAlign w:val="top"/>
          </w:tcPr>
          <w:p w14:paraId="544D3B67">
            <w:pPr>
              <w:pStyle w:val="144"/>
              <w:widowControl w:val="0"/>
              <w:bidi w:val="0"/>
              <w:rPr>
                <w:b/>
                <w:bCs/>
              </w:rPr>
            </w:pPr>
          </w:p>
        </w:tc>
        <w:tc>
          <w:tcPr>
            <w:tcW w:w="3546" w:type="dxa"/>
            <w:noWrap w:val="0"/>
            <w:vAlign w:val="top"/>
          </w:tcPr>
          <w:p w14:paraId="66246BC3">
            <w:pPr>
              <w:pStyle w:val="144"/>
              <w:widowControl w:val="0"/>
              <w:bidi w:val="0"/>
              <w:rPr>
                <w:b/>
                <w:bCs/>
              </w:rPr>
            </w:pPr>
          </w:p>
        </w:tc>
        <w:tc>
          <w:tcPr>
            <w:tcW w:w="1276" w:type="dxa"/>
            <w:noWrap w:val="0"/>
            <w:vAlign w:val="top"/>
          </w:tcPr>
          <w:p w14:paraId="703A7759">
            <w:pPr>
              <w:pStyle w:val="144"/>
              <w:widowControl w:val="0"/>
              <w:bidi w:val="0"/>
              <w:rPr>
                <w:b/>
                <w:bCs/>
              </w:rPr>
            </w:pPr>
          </w:p>
        </w:tc>
      </w:tr>
      <w:tr w14:paraId="49C9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D31E1CA">
            <w:pPr>
              <w:pStyle w:val="144"/>
              <w:widowControl w:val="0"/>
              <w:bidi w:val="0"/>
              <w:rPr>
                <w:b/>
                <w:bCs/>
              </w:rPr>
            </w:pPr>
            <w:r>
              <w:rPr>
                <w:rFonts w:hint="eastAsia"/>
                <w:b/>
                <w:bCs/>
              </w:rPr>
              <w:t>……</w:t>
            </w:r>
          </w:p>
        </w:tc>
        <w:tc>
          <w:tcPr>
            <w:tcW w:w="3683" w:type="dxa"/>
            <w:noWrap w:val="0"/>
            <w:vAlign w:val="top"/>
          </w:tcPr>
          <w:p w14:paraId="702E22ED">
            <w:pPr>
              <w:pStyle w:val="144"/>
              <w:widowControl w:val="0"/>
              <w:bidi w:val="0"/>
              <w:rPr>
                <w:b/>
                <w:bCs/>
              </w:rPr>
            </w:pPr>
          </w:p>
        </w:tc>
        <w:tc>
          <w:tcPr>
            <w:tcW w:w="3546" w:type="dxa"/>
            <w:noWrap w:val="0"/>
            <w:vAlign w:val="top"/>
          </w:tcPr>
          <w:p w14:paraId="1213D0C7">
            <w:pPr>
              <w:pStyle w:val="144"/>
              <w:widowControl w:val="0"/>
              <w:bidi w:val="0"/>
              <w:rPr>
                <w:b/>
                <w:bCs/>
              </w:rPr>
            </w:pPr>
          </w:p>
        </w:tc>
        <w:tc>
          <w:tcPr>
            <w:tcW w:w="1276" w:type="dxa"/>
            <w:noWrap w:val="0"/>
            <w:vAlign w:val="top"/>
          </w:tcPr>
          <w:p w14:paraId="6B84DFA1">
            <w:pPr>
              <w:pStyle w:val="144"/>
              <w:widowControl w:val="0"/>
              <w:bidi w:val="0"/>
              <w:rPr>
                <w:b/>
                <w:bCs/>
              </w:rPr>
            </w:pPr>
          </w:p>
        </w:tc>
      </w:tr>
    </w:tbl>
    <w:p w14:paraId="4B1A88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2DC6B9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5DB740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221BF9D4">
      <w:pPr>
        <w:jc w:val="center"/>
        <w:rPr>
          <w:rFonts w:ascii="宋体" w:hAnsi="宋体" w:cs="宋体"/>
          <w:b/>
          <w:kern w:val="0"/>
          <w:sz w:val="32"/>
          <w:szCs w:val="32"/>
        </w:rPr>
      </w:pPr>
    </w:p>
    <w:p w14:paraId="092610AB">
      <w:pPr>
        <w:bidi w:val="0"/>
        <w:rPr>
          <w:rFonts w:hint="eastAsia"/>
        </w:rPr>
      </w:pPr>
    </w:p>
    <w:p w14:paraId="31BC7FC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ECCA656">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14:paraId="331AE0AE">
      <w:pPr>
        <w:pStyle w:val="4"/>
        <w:bidi w:val="0"/>
      </w:pPr>
      <w:bookmarkStart w:id="466" w:name="_Toc13710"/>
      <w:bookmarkStart w:id="467" w:name="_Toc29279"/>
      <w:r>
        <w:rPr>
          <w:rFonts w:hint="eastAsia"/>
          <w:lang w:val="en-US" w:eastAsia="zh-CN"/>
        </w:rPr>
        <w:t>八、技术偏离</w:t>
      </w:r>
      <w:r>
        <w:rPr>
          <w:rFonts w:hint="eastAsia"/>
        </w:rPr>
        <w:t>表</w:t>
      </w:r>
      <w:bookmarkEnd w:id="466"/>
      <w:bookmarkEnd w:id="467"/>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8A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14:paraId="55924B8A">
            <w:pPr>
              <w:pStyle w:val="144"/>
              <w:widowControl w:val="0"/>
              <w:bidi w:val="0"/>
              <w:rPr>
                <w:b/>
                <w:bCs/>
              </w:rPr>
            </w:pPr>
            <w:r>
              <w:rPr>
                <w:rFonts w:hint="eastAsia"/>
                <w:b/>
                <w:bCs/>
              </w:rPr>
              <w:t>序号</w:t>
            </w:r>
          </w:p>
        </w:tc>
        <w:tc>
          <w:tcPr>
            <w:tcW w:w="3683" w:type="dxa"/>
            <w:noWrap w:val="0"/>
            <w:vAlign w:val="top"/>
          </w:tcPr>
          <w:p w14:paraId="6C6589C8">
            <w:pPr>
              <w:pStyle w:val="144"/>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1DA58B7E">
            <w:pPr>
              <w:pStyle w:val="144"/>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3A7CC08C">
            <w:pPr>
              <w:pStyle w:val="144"/>
              <w:widowControl w:val="0"/>
              <w:bidi w:val="0"/>
              <w:rPr>
                <w:b/>
                <w:bCs/>
              </w:rPr>
            </w:pPr>
            <w:r>
              <w:rPr>
                <w:rFonts w:hint="eastAsia"/>
                <w:b/>
                <w:bCs/>
              </w:rPr>
              <w:t>偏离情况</w:t>
            </w:r>
          </w:p>
        </w:tc>
      </w:tr>
      <w:tr w14:paraId="1D4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BAAFC0C">
            <w:pPr>
              <w:pStyle w:val="144"/>
              <w:widowControl w:val="0"/>
              <w:bidi w:val="0"/>
              <w:rPr>
                <w:b/>
                <w:bCs/>
              </w:rPr>
            </w:pPr>
            <w:r>
              <w:rPr>
                <w:rFonts w:hint="eastAsia"/>
                <w:b/>
                <w:bCs/>
              </w:rPr>
              <w:t>1</w:t>
            </w:r>
          </w:p>
        </w:tc>
        <w:tc>
          <w:tcPr>
            <w:tcW w:w="3683" w:type="dxa"/>
            <w:noWrap w:val="0"/>
            <w:vAlign w:val="top"/>
          </w:tcPr>
          <w:p w14:paraId="5D44FA83">
            <w:pPr>
              <w:pStyle w:val="144"/>
              <w:widowControl w:val="0"/>
              <w:bidi w:val="0"/>
              <w:rPr>
                <w:b/>
                <w:bCs/>
              </w:rPr>
            </w:pPr>
          </w:p>
        </w:tc>
        <w:tc>
          <w:tcPr>
            <w:tcW w:w="3546" w:type="dxa"/>
            <w:noWrap w:val="0"/>
            <w:vAlign w:val="top"/>
          </w:tcPr>
          <w:p w14:paraId="6EA7255E">
            <w:pPr>
              <w:pStyle w:val="144"/>
              <w:widowControl w:val="0"/>
              <w:bidi w:val="0"/>
              <w:rPr>
                <w:b/>
                <w:bCs/>
              </w:rPr>
            </w:pPr>
          </w:p>
        </w:tc>
        <w:tc>
          <w:tcPr>
            <w:tcW w:w="1276" w:type="dxa"/>
            <w:noWrap w:val="0"/>
            <w:vAlign w:val="top"/>
          </w:tcPr>
          <w:p w14:paraId="07339696">
            <w:pPr>
              <w:pStyle w:val="144"/>
              <w:widowControl w:val="0"/>
              <w:bidi w:val="0"/>
              <w:rPr>
                <w:b/>
                <w:bCs/>
              </w:rPr>
            </w:pPr>
          </w:p>
        </w:tc>
      </w:tr>
      <w:tr w14:paraId="4F34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A532100">
            <w:pPr>
              <w:pStyle w:val="144"/>
              <w:widowControl w:val="0"/>
              <w:bidi w:val="0"/>
              <w:rPr>
                <w:b/>
                <w:bCs/>
              </w:rPr>
            </w:pPr>
            <w:r>
              <w:rPr>
                <w:rFonts w:hint="eastAsia"/>
                <w:b/>
                <w:bCs/>
              </w:rPr>
              <w:t>2</w:t>
            </w:r>
          </w:p>
        </w:tc>
        <w:tc>
          <w:tcPr>
            <w:tcW w:w="3683" w:type="dxa"/>
            <w:noWrap w:val="0"/>
            <w:vAlign w:val="top"/>
          </w:tcPr>
          <w:p w14:paraId="3E33E2E1">
            <w:pPr>
              <w:pStyle w:val="144"/>
              <w:widowControl w:val="0"/>
              <w:bidi w:val="0"/>
              <w:rPr>
                <w:b/>
                <w:bCs/>
              </w:rPr>
            </w:pPr>
          </w:p>
        </w:tc>
        <w:tc>
          <w:tcPr>
            <w:tcW w:w="3546" w:type="dxa"/>
            <w:noWrap w:val="0"/>
            <w:vAlign w:val="top"/>
          </w:tcPr>
          <w:p w14:paraId="613732B1">
            <w:pPr>
              <w:pStyle w:val="144"/>
              <w:widowControl w:val="0"/>
              <w:bidi w:val="0"/>
              <w:rPr>
                <w:b/>
                <w:bCs/>
              </w:rPr>
            </w:pPr>
          </w:p>
        </w:tc>
        <w:tc>
          <w:tcPr>
            <w:tcW w:w="1276" w:type="dxa"/>
            <w:noWrap w:val="0"/>
            <w:vAlign w:val="top"/>
          </w:tcPr>
          <w:p w14:paraId="4B7D8FE1">
            <w:pPr>
              <w:pStyle w:val="144"/>
              <w:widowControl w:val="0"/>
              <w:bidi w:val="0"/>
              <w:rPr>
                <w:b/>
                <w:bCs/>
              </w:rPr>
            </w:pPr>
          </w:p>
        </w:tc>
      </w:tr>
      <w:tr w14:paraId="4FF7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D456BA6">
            <w:pPr>
              <w:pStyle w:val="144"/>
              <w:widowControl w:val="0"/>
              <w:bidi w:val="0"/>
              <w:rPr>
                <w:b/>
                <w:bCs/>
              </w:rPr>
            </w:pPr>
            <w:r>
              <w:rPr>
                <w:rFonts w:hint="eastAsia"/>
                <w:b/>
                <w:bCs/>
              </w:rPr>
              <w:t>……</w:t>
            </w:r>
          </w:p>
        </w:tc>
        <w:tc>
          <w:tcPr>
            <w:tcW w:w="3683" w:type="dxa"/>
            <w:noWrap w:val="0"/>
            <w:vAlign w:val="top"/>
          </w:tcPr>
          <w:p w14:paraId="6D4F3AD7">
            <w:pPr>
              <w:pStyle w:val="144"/>
              <w:widowControl w:val="0"/>
              <w:bidi w:val="0"/>
              <w:rPr>
                <w:b/>
                <w:bCs/>
              </w:rPr>
            </w:pPr>
          </w:p>
        </w:tc>
        <w:tc>
          <w:tcPr>
            <w:tcW w:w="3546" w:type="dxa"/>
            <w:noWrap w:val="0"/>
            <w:vAlign w:val="top"/>
          </w:tcPr>
          <w:p w14:paraId="5BC26C62">
            <w:pPr>
              <w:pStyle w:val="144"/>
              <w:widowControl w:val="0"/>
              <w:bidi w:val="0"/>
              <w:rPr>
                <w:b/>
                <w:bCs/>
              </w:rPr>
            </w:pPr>
          </w:p>
        </w:tc>
        <w:tc>
          <w:tcPr>
            <w:tcW w:w="1276" w:type="dxa"/>
            <w:noWrap w:val="0"/>
            <w:vAlign w:val="top"/>
          </w:tcPr>
          <w:p w14:paraId="23BCB774">
            <w:pPr>
              <w:pStyle w:val="144"/>
              <w:widowControl w:val="0"/>
              <w:bidi w:val="0"/>
              <w:rPr>
                <w:b/>
                <w:bCs/>
              </w:rPr>
            </w:pPr>
          </w:p>
        </w:tc>
      </w:tr>
    </w:tbl>
    <w:p w14:paraId="54BC4D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536769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23EA90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13921E12">
      <w:pPr>
        <w:jc w:val="center"/>
        <w:rPr>
          <w:rFonts w:ascii="宋体" w:hAnsi="宋体" w:cs="宋体"/>
          <w:b/>
          <w:kern w:val="0"/>
          <w:sz w:val="32"/>
          <w:szCs w:val="32"/>
        </w:rPr>
      </w:pPr>
    </w:p>
    <w:p w14:paraId="1CD5585F">
      <w:pPr>
        <w:bidi w:val="0"/>
        <w:rPr>
          <w:rFonts w:hint="eastAsia"/>
        </w:rPr>
      </w:pPr>
    </w:p>
    <w:p w14:paraId="789BDE6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4C01A01">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BF13DD6">
      <w:pPr>
        <w:bidi w:val="0"/>
        <w:rPr>
          <w:rFonts w:hint="eastAsia"/>
          <w:lang w:val="zh-CN"/>
        </w:rPr>
      </w:pPr>
    </w:p>
    <w:p w14:paraId="4B4313AB">
      <w:pPr>
        <w:jc w:val="center"/>
        <w:rPr>
          <w:rFonts w:ascii="宋体" w:hAnsi="宋体" w:cs="宋体"/>
          <w:b/>
          <w:kern w:val="0"/>
          <w:sz w:val="32"/>
          <w:szCs w:val="32"/>
        </w:rPr>
      </w:pPr>
    </w:p>
    <w:p w14:paraId="779E2E1D">
      <w:pPr>
        <w:jc w:val="center"/>
        <w:rPr>
          <w:rFonts w:ascii="宋体" w:hAnsi="宋体" w:cs="宋体"/>
          <w:b/>
          <w:kern w:val="0"/>
          <w:sz w:val="32"/>
          <w:szCs w:val="32"/>
        </w:rPr>
      </w:pPr>
    </w:p>
    <w:p w14:paraId="21EA4BB1">
      <w:pPr>
        <w:jc w:val="center"/>
        <w:rPr>
          <w:rFonts w:ascii="宋体" w:hAnsi="宋体" w:cs="宋体"/>
          <w:b/>
          <w:kern w:val="0"/>
          <w:sz w:val="32"/>
          <w:szCs w:val="32"/>
        </w:rPr>
      </w:pPr>
    </w:p>
    <w:p w14:paraId="18C0B0DD">
      <w:pPr>
        <w:ind w:firstLine="1911" w:firstLineChars="595"/>
        <w:rPr>
          <w:rFonts w:ascii="宋体" w:hAnsi="宋体" w:cs="宋体"/>
          <w:b/>
          <w:bCs/>
          <w:sz w:val="32"/>
          <w:szCs w:val="32"/>
        </w:rPr>
      </w:pPr>
    </w:p>
    <w:p w14:paraId="6DDEF4D9">
      <w:pPr>
        <w:ind w:firstLine="1911" w:firstLineChars="595"/>
        <w:rPr>
          <w:rFonts w:ascii="宋体" w:hAnsi="宋体" w:cs="宋体"/>
          <w:b/>
          <w:bCs/>
          <w:sz w:val="32"/>
          <w:szCs w:val="32"/>
        </w:rPr>
      </w:pPr>
    </w:p>
    <w:p w14:paraId="79A76AA7">
      <w:pPr>
        <w:ind w:firstLine="1911" w:firstLineChars="595"/>
        <w:rPr>
          <w:rFonts w:ascii="宋体" w:hAnsi="宋体" w:cs="宋体"/>
          <w:b/>
          <w:bCs/>
          <w:sz w:val="32"/>
          <w:szCs w:val="32"/>
        </w:rPr>
      </w:pPr>
    </w:p>
    <w:p w14:paraId="7FE83569">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8AF4AC">
      <w:pPr>
        <w:pStyle w:val="4"/>
        <w:bidi w:val="0"/>
        <w:rPr>
          <w:rFonts w:ascii="宋体" w:hAnsi="宋体" w:cs="宋体"/>
          <w:b/>
          <w:kern w:val="0"/>
          <w:sz w:val="32"/>
          <w:szCs w:val="32"/>
        </w:rPr>
      </w:pPr>
      <w:bookmarkStart w:id="468" w:name="_Toc1831"/>
      <w:bookmarkStart w:id="469" w:name="_Toc22522"/>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8"/>
      <w:bookmarkEnd w:id="469"/>
    </w:p>
    <w:p w14:paraId="20E71A1A">
      <w:pPr>
        <w:snapToGrid w:val="0"/>
        <w:spacing w:line="360" w:lineRule="auto"/>
        <w:rPr>
          <w:rFonts w:ascii="宋体" w:hAnsi="宋体" w:cs="宋体"/>
          <w:sz w:val="24"/>
        </w:rPr>
      </w:pPr>
    </w:p>
    <w:p w14:paraId="56E11D8B">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B1EAE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C78B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56A7D3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33AC94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2E38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3242D1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7F88D3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C12B0D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14:paraId="6B8AD42A">
      <w:pPr>
        <w:autoSpaceDE w:val="0"/>
        <w:autoSpaceDN w:val="0"/>
        <w:spacing w:line="360" w:lineRule="auto"/>
        <w:ind w:left="2"/>
        <w:jc w:val="left"/>
        <w:rPr>
          <w:rFonts w:ascii="宋体" w:hAnsi="宋体" w:cs="宋体"/>
          <w:kern w:val="0"/>
          <w:sz w:val="24"/>
          <w:lang w:val="zh-CN"/>
        </w:rPr>
      </w:pPr>
    </w:p>
    <w:p w14:paraId="1CF20E79">
      <w:pPr>
        <w:autoSpaceDE w:val="0"/>
        <w:autoSpaceDN w:val="0"/>
        <w:spacing w:line="360" w:lineRule="auto"/>
        <w:ind w:left="2"/>
        <w:jc w:val="left"/>
        <w:rPr>
          <w:rFonts w:ascii="宋体" w:hAnsi="宋体" w:cs="宋体"/>
          <w:kern w:val="0"/>
          <w:sz w:val="24"/>
          <w:lang w:val="zh-CN"/>
        </w:rPr>
      </w:pPr>
    </w:p>
    <w:p w14:paraId="24CFED61">
      <w:pPr>
        <w:autoSpaceDE w:val="0"/>
        <w:autoSpaceDN w:val="0"/>
        <w:spacing w:line="360" w:lineRule="auto"/>
        <w:ind w:left="2"/>
        <w:jc w:val="left"/>
        <w:rPr>
          <w:rFonts w:ascii="宋体" w:hAnsi="宋体" w:cs="宋体"/>
          <w:kern w:val="0"/>
          <w:sz w:val="24"/>
          <w:lang w:val="zh-CN"/>
        </w:rPr>
      </w:pPr>
    </w:p>
    <w:p w14:paraId="24F6F39F">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342730A">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AFDBB9F">
      <w:pPr>
        <w:spacing w:line="360" w:lineRule="auto"/>
        <w:jc w:val="center"/>
        <w:rPr>
          <w:rFonts w:ascii="宋体" w:hAnsi="宋体" w:cs="宋体"/>
          <w:b/>
          <w:bCs/>
          <w:sz w:val="24"/>
        </w:rPr>
      </w:pPr>
    </w:p>
    <w:p w14:paraId="4150EA4F">
      <w:pPr>
        <w:spacing w:line="360" w:lineRule="auto"/>
        <w:ind w:right="420"/>
        <w:rPr>
          <w:rFonts w:ascii="宋体" w:hAnsi="宋体" w:cs="宋体"/>
          <w:sz w:val="24"/>
        </w:rPr>
      </w:pPr>
      <w:r>
        <w:rPr>
          <w:rFonts w:hint="eastAsia" w:ascii="宋体" w:hAnsi="宋体" w:cs="宋体"/>
          <w:sz w:val="24"/>
        </w:rPr>
        <w:t>注：按本格式和要求提供。</w:t>
      </w:r>
    </w:p>
    <w:p w14:paraId="790396C7">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A855D1E">
      <w:pPr>
        <w:pStyle w:val="4"/>
        <w:bidi w:val="0"/>
        <w:rPr>
          <w:rFonts w:hint="eastAsia"/>
          <w:lang w:val="en-US" w:eastAsia="zh-CN"/>
        </w:rPr>
      </w:pPr>
      <w:bookmarkStart w:id="470" w:name="_Toc2224"/>
      <w:bookmarkStart w:id="471" w:name="_Toc24979"/>
      <w:r>
        <w:rPr>
          <w:rFonts w:hint="eastAsia"/>
          <w:lang w:val="en-US" w:eastAsia="zh-CN"/>
        </w:rPr>
        <w:t>十、代理服务费支付承诺书</w:t>
      </w:r>
      <w:bookmarkEnd w:id="470"/>
      <w:bookmarkEnd w:id="471"/>
    </w:p>
    <w:p w14:paraId="619367B4">
      <w:pPr>
        <w:snapToGrid w:val="0"/>
        <w:spacing w:before="50" w:after="50" w:line="360" w:lineRule="auto"/>
        <w:rPr>
          <w:rFonts w:ascii="Times New Roman" w:hAnsi="Times New Roman"/>
          <w:spacing w:val="20"/>
          <w:sz w:val="24"/>
          <w:u w:val="single"/>
        </w:rPr>
      </w:pPr>
    </w:p>
    <w:p w14:paraId="0056E852">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7A8E4496">
      <w:pPr>
        <w:snapToGrid w:val="0"/>
        <w:spacing w:before="50" w:after="50" w:line="360" w:lineRule="auto"/>
        <w:ind w:firstLine="630"/>
        <w:rPr>
          <w:rFonts w:hint="eastAsia" w:ascii="Times New Roman" w:hAnsi="宋体"/>
          <w:color w:val="0070C0"/>
          <w:sz w:val="24"/>
          <w:lang w:eastAsia="zh-CN"/>
        </w:rPr>
      </w:pPr>
      <w:r>
        <w:rPr>
          <w:rFonts w:ascii="Times New Roman" w:hAnsi="宋体"/>
          <w:sz w:val="24"/>
        </w:rPr>
        <w:t>我</w:t>
      </w:r>
      <w:r>
        <w:rPr>
          <w:rFonts w:hint="eastAsia" w:ascii="Times New Roman" w:hAnsi="宋体"/>
          <w:sz w:val="24"/>
          <w:lang w:eastAsia="zh-CN"/>
        </w:rPr>
        <w:t>单位</w:t>
      </w:r>
      <w:r>
        <w:rPr>
          <w:rFonts w:ascii="Times New Roman" w:hAnsi="宋体"/>
          <w:sz w:val="24"/>
        </w:rPr>
        <w:t>承诺</w:t>
      </w:r>
      <w:r>
        <w:rPr>
          <w:rFonts w:hint="eastAsia" w:ascii="Times New Roman" w:hAnsi="宋体"/>
          <w:sz w:val="24"/>
          <w:lang w:eastAsia="zh-CN"/>
        </w:rPr>
        <w:t>，</w:t>
      </w:r>
      <w:r>
        <w:rPr>
          <w:rFonts w:ascii="Times New Roman" w:hAnsi="宋体"/>
          <w:sz w:val="24"/>
        </w:rPr>
        <w:t>如</w:t>
      </w:r>
      <w:r>
        <w:rPr>
          <w:rFonts w:hint="eastAsia" w:ascii="Times New Roman" w:hAnsi="宋体"/>
          <w:sz w:val="24"/>
          <w:u w:val="single"/>
          <w:lang w:val="en-US" w:eastAsia="zh-CN"/>
        </w:rPr>
        <w:t xml:space="preserve">       </w:t>
      </w:r>
      <w:r>
        <w:rPr>
          <w:rFonts w:hint="eastAsia" w:ascii="Times New Roman" w:hAnsi="宋体"/>
          <w:sz w:val="24"/>
          <w:lang w:val="en-US" w:eastAsia="zh-CN"/>
        </w:rPr>
        <w:t>项目（项目编号：</w:t>
      </w:r>
      <w:r>
        <w:rPr>
          <w:rFonts w:hint="eastAsia" w:ascii="Times New Roman" w:hAnsi="宋体"/>
          <w:sz w:val="24"/>
          <w:u w:val="single"/>
          <w:lang w:val="en-US" w:eastAsia="zh-CN"/>
        </w:rPr>
        <w:t xml:space="preserve">     </w:t>
      </w:r>
      <w:r>
        <w:rPr>
          <w:rFonts w:hint="eastAsia" w:ascii="Times New Roman" w:hAnsi="宋体"/>
          <w:sz w:val="24"/>
          <w:lang w:val="en-US" w:eastAsia="zh-CN"/>
        </w:rPr>
        <w:t>）</w:t>
      </w:r>
      <w:r>
        <w:rPr>
          <w:rFonts w:ascii="Times New Roman" w:hAnsi="宋体"/>
          <w:sz w:val="24"/>
        </w:rPr>
        <w:t>中标，我公司将自中标</w:t>
      </w:r>
      <w:r>
        <w:rPr>
          <w:rFonts w:hint="eastAsia" w:ascii="Times New Roman" w:hAnsi="宋体"/>
          <w:sz w:val="24"/>
          <w:lang w:eastAsia="zh-CN"/>
        </w:rPr>
        <w:t>（</w:t>
      </w:r>
      <w:r>
        <w:rPr>
          <w:rFonts w:hint="eastAsia" w:ascii="Times New Roman" w:hAnsi="宋体"/>
          <w:sz w:val="24"/>
          <w:lang w:val="en-US" w:eastAsia="zh-CN"/>
        </w:rPr>
        <w:t>成交）</w:t>
      </w:r>
      <w:r>
        <w:rPr>
          <w:rFonts w:ascii="Times New Roman" w:hAnsi="宋体"/>
          <w:sz w:val="24"/>
        </w:rPr>
        <w:t>公告发布之日起</w:t>
      </w:r>
      <w:r>
        <w:rPr>
          <w:rFonts w:ascii="Times New Roman" w:hAnsi="Times New Roman"/>
          <w:sz w:val="24"/>
        </w:rPr>
        <w:t>5</w:t>
      </w:r>
      <w:r>
        <w:rPr>
          <w:rFonts w:ascii="Times New Roman" w:hAnsi="宋体"/>
          <w:sz w:val="24"/>
        </w:rPr>
        <w:t>个工作日内按</w:t>
      </w:r>
      <w:r>
        <w:rPr>
          <w:rFonts w:hint="eastAsia" w:ascii="Times New Roman" w:hAnsi="宋体"/>
          <w:sz w:val="24"/>
          <w:lang w:val="en-US" w:eastAsia="zh-CN"/>
        </w:rPr>
        <w:t>采购</w:t>
      </w:r>
      <w:r>
        <w:rPr>
          <w:rFonts w:ascii="Times New Roman" w:hAnsi="宋体"/>
          <w:sz w:val="24"/>
        </w:rPr>
        <w:t>文件规定的标准（金额）一次性向采购代理机构支付代理服</w:t>
      </w:r>
      <w:r>
        <w:rPr>
          <w:rFonts w:ascii="Times New Roman" w:hAnsi="宋体"/>
          <w:color w:val="auto"/>
          <w:sz w:val="24"/>
        </w:rPr>
        <w:t>务费</w:t>
      </w:r>
      <w:r>
        <w:rPr>
          <w:rFonts w:hint="eastAsia" w:ascii="Times New Roman" w:hAnsi="宋体"/>
          <w:color w:val="auto"/>
          <w:sz w:val="24"/>
          <w:lang w:eastAsia="zh-CN"/>
        </w:rPr>
        <w:t>，如逾期支付，我单位愿意按采购文件约定支付违约金。</w:t>
      </w:r>
    </w:p>
    <w:p w14:paraId="0831954A">
      <w:pPr>
        <w:snapToGrid w:val="0"/>
        <w:spacing w:before="50" w:after="50" w:line="360" w:lineRule="auto"/>
        <w:ind w:firstLine="630"/>
        <w:rPr>
          <w:rFonts w:hint="default" w:ascii="Times New Roman" w:hAnsi="宋体"/>
          <w:sz w:val="24"/>
          <w:lang w:val="en-US" w:eastAsia="zh-CN"/>
        </w:rPr>
      </w:pPr>
      <w:r>
        <w:rPr>
          <w:rFonts w:hint="eastAsia" w:ascii="Times New Roman" w:hAnsi="宋体"/>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35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50B81368">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14:paraId="06F9E786">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14:paraId="4AEBB0BE">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14:paraId="2036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1461051D">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046A53CD">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14:paraId="62EE9755">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14:paraId="7951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A37F7E7">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5D4E7B88">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14:paraId="53941D26">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14:paraId="13FD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26559666">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14:paraId="74B88B48">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14:paraId="3B4B7496">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14:paraId="444E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62F75B49">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14:paraId="623F6C3C">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14:paraId="683FF75A">
            <w:pPr>
              <w:snapToGrid w:val="0"/>
              <w:spacing w:before="50" w:after="50" w:line="360" w:lineRule="auto"/>
              <w:ind w:left="0" w:leftChars="0" w:firstLine="0" w:firstLineChars="0"/>
              <w:jc w:val="left"/>
              <w:rPr>
                <w:rFonts w:hint="eastAsia" w:ascii="Times New Roman" w:hAnsi="宋体"/>
                <w:sz w:val="24"/>
                <w:lang w:val="en-US" w:eastAsia="zh-CN"/>
              </w:rPr>
            </w:pPr>
          </w:p>
        </w:tc>
      </w:tr>
      <w:tr w14:paraId="2E5A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233B95C9">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14:paraId="20C15F33">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14:paraId="6E0CF206">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bl>
    <w:p w14:paraId="5DB4D398">
      <w:pPr>
        <w:snapToGrid w:val="0"/>
        <w:spacing w:before="50" w:after="50" w:line="360" w:lineRule="auto"/>
        <w:ind w:firstLine="630"/>
        <w:rPr>
          <w:rFonts w:ascii="Times New Roman" w:hAnsi="Times New Roman"/>
          <w:sz w:val="24"/>
        </w:rPr>
      </w:pPr>
    </w:p>
    <w:p w14:paraId="0616A491">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14:paraId="115716FE">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14:paraId="51028950">
      <w:pPr>
        <w:snapToGrid w:val="0"/>
        <w:spacing w:before="50" w:after="50" w:line="360" w:lineRule="auto"/>
        <w:rPr>
          <w:rFonts w:hint="eastAsia" w:ascii="Times New Roman" w:hAnsi="宋体"/>
          <w:sz w:val="24"/>
          <w:lang w:val="en-US" w:eastAsia="zh-CN"/>
        </w:rPr>
      </w:pPr>
    </w:p>
    <w:p w14:paraId="11E29C49">
      <w:pPr>
        <w:pStyle w:val="3"/>
        <w:bidi w:val="0"/>
        <w:rPr>
          <w:rFonts w:hint="eastAsia" w:eastAsia="宋体"/>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A131383">
      <w:pPr>
        <w:pStyle w:val="4"/>
        <w:bidi w:val="0"/>
      </w:pPr>
      <w:bookmarkStart w:id="472" w:name="_Toc8380"/>
      <w:bookmarkStart w:id="473" w:name="_Toc28938"/>
      <w:r>
        <w:rPr>
          <w:rFonts w:hint="eastAsia"/>
        </w:rPr>
        <w:t>报价文件部分</w:t>
      </w:r>
      <w:bookmarkEnd w:id="472"/>
      <w:bookmarkEnd w:id="473"/>
    </w:p>
    <w:p w14:paraId="32652F7A">
      <w:pPr>
        <w:bidi w:val="0"/>
        <w:ind w:left="0" w:leftChars="0" w:firstLine="0" w:firstLineChars="0"/>
        <w:jc w:val="center"/>
        <w:rPr>
          <w:b/>
          <w:bCs/>
          <w:sz w:val="36"/>
          <w:szCs w:val="36"/>
        </w:rPr>
      </w:pPr>
      <w:r>
        <w:rPr>
          <w:rFonts w:hint="eastAsia"/>
          <w:b/>
          <w:bCs/>
          <w:sz w:val="36"/>
          <w:szCs w:val="36"/>
        </w:rPr>
        <w:t>目录</w:t>
      </w:r>
    </w:p>
    <w:p w14:paraId="78BDEF9C">
      <w:pPr>
        <w:bidi w:val="0"/>
      </w:pPr>
    </w:p>
    <w:p w14:paraId="7200A9DB">
      <w:pPr>
        <w:snapToGrid w:val="0"/>
        <w:spacing w:line="360" w:lineRule="auto"/>
        <w:ind w:left="0" w:leftChars="0" w:firstLine="0" w:firstLineChars="0"/>
        <w:rPr>
          <w:rFonts w:ascii="宋体" w:hAnsi="宋体" w:cs="宋体"/>
          <w:sz w:val="24"/>
        </w:rPr>
      </w:pPr>
      <w:r>
        <w:rPr>
          <w:rFonts w:hint="eastAsia" w:ascii="宋体" w:hAnsi="宋体" w:cs="宋体"/>
          <w:sz w:val="24"/>
        </w:rPr>
        <w:t>（1）开标一览表（报价表）…………………………………………………（页码）</w:t>
      </w:r>
    </w:p>
    <w:p w14:paraId="035E7B9C">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如有</w:t>
      </w:r>
      <w:r>
        <w:rPr>
          <w:rFonts w:hint="eastAsia" w:ascii="宋体" w:hAnsi="宋体" w:cs="宋体"/>
          <w:color w:val="auto"/>
          <w:sz w:val="24"/>
          <w:lang w:eastAsia="zh-CN"/>
        </w:rPr>
        <w:t>）</w:t>
      </w:r>
      <w:r>
        <w:rPr>
          <w:rFonts w:hint="eastAsia" w:ascii="宋体" w:hAnsi="宋体" w:cs="宋体"/>
          <w:color w:val="auto"/>
          <w:sz w:val="24"/>
        </w:rPr>
        <w:t>…………………………………………………（页码）</w:t>
      </w:r>
    </w:p>
    <w:p w14:paraId="4F1DE272">
      <w:pPr>
        <w:snapToGrid w:val="0"/>
        <w:spacing w:line="360" w:lineRule="auto"/>
        <w:ind w:left="0" w:leftChars="0" w:firstLine="0" w:firstLineChars="0"/>
        <w:rPr>
          <w:rFonts w:ascii="宋体" w:hAnsi="宋体" w:cs="宋体"/>
          <w:sz w:val="24"/>
        </w:rPr>
      </w:pPr>
    </w:p>
    <w:p w14:paraId="01023A4C">
      <w:pPr>
        <w:snapToGrid w:val="0"/>
        <w:spacing w:line="360" w:lineRule="auto"/>
        <w:ind w:right="480"/>
        <w:jc w:val="center"/>
        <w:rPr>
          <w:rFonts w:ascii="宋体" w:hAnsi="宋体" w:cs="宋体"/>
          <w:b/>
          <w:kern w:val="0"/>
          <w:sz w:val="32"/>
          <w:szCs w:val="32"/>
        </w:rPr>
      </w:pPr>
    </w:p>
    <w:p w14:paraId="043E7EF2">
      <w:pPr>
        <w:snapToGrid w:val="0"/>
        <w:spacing w:line="360" w:lineRule="auto"/>
        <w:ind w:right="480"/>
        <w:jc w:val="center"/>
        <w:rPr>
          <w:rFonts w:ascii="宋体" w:hAnsi="宋体" w:cs="宋体"/>
          <w:b/>
          <w:kern w:val="0"/>
          <w:sz w:val="32"/>
          <w:szCs w:val="32"/>
        </w:rPr>
      </w:pPr>
    </w:p>
    <w:p w14:paraId="33D5E210">
      <w:pPr>
        <w:snapToGrid w:val="0"/>
        <w:spacing w:line="360" w:lineRule="auto"/>
        <w:ind w:right="480"/>
        <w:jc w:val="center"/>
        <w:rPr>
          <w:rFonts w:ascii="宋体" w:hAnsi="宋体" w:cs="宋体"/>
          <w:b/>
          <w:kern w:val="0"/>
          <w:sz w:val="32"/>
          <w:szCs w:val="32"/>
        </w:rPr>
      </w:pPr>
    </w:p>
    <w:p w14:paraId="1A0DB422">
      <w:pPr>
        <w:snapToGrid w:val="0"/>
        <w:spacing w:line="360" w:lineRule="auto"/>
        <w:ind w:right="480"/>
        <w:jc w:val="center"/>
        <w:rPr>
          <w:rFonts w:ascii="宋体" w:hAnsi="宋体" w:cs="宋体"/>
          <w:b/>
          <w:kern w:val="0"/>
          <w:sz w:val="32"/>
          <w:szCs w:val="32"/>
        </w:rPr>
      </w:pPr>
    </w:p>
    <w:p w14:paraId="1A9CF7CE">
      <w:pPr>
        <w:snapToGrid w:val="0"/>
        <w:spacing w:line="360" w:lineRule="auto"/>
        <w:ind w:right="480"/>
        <w:jc w:val="center"/>
        <w:rPr>
          <w:rFonts w:ascii="宋体" w:hAnsi="宋体" w:cs="宋体"/>
          <w:b/>
          <w:kern w:val="0"/>
          <w:sz w:val="32"/>
          <w:szCs w:val="32"/>
        </w:rPr>
      </w:pPr>
    </w:p>
    <w:p w14:paraId="446760FB">
      <w:pPr>
        <w:snapToGrid w:val="0"/>
        <w:spacing w:line="360" w:lineRule="auto"/>
        <w:ind w:right="480"/>
        <w:jc w:val="center"/>
        <w:rPr>
          <w:rFonts w:ascii="宋体" w:hAnsi="宋体" w:cs="宋体"/>
          <w:b/>
          <w:kern w:val="0"/>
          <w:sz w:val="32"/>
          <w:szCs w:val="32"/>
        </w:rPr>
      </w:pPr>
    </w:p>
    <w:p w14:paraId="1DE6215D">
      <w:pPr>
        <w:snapToGrid w:val="0"/>
        <w:spacing w:line="360" w:lineRule="auto"/>
        <w:ind w:right="480"/>
        <w:jc w:val="center"/>
        <w:rPr>
          <w:rFonts w:ascii="宋体" w:hAnsi="宋体" w:cs="宋体"/>
          <w:b/>
          <w:kern w:val="0"/>
          <w:sz w:val="32"/>
          <w:szCs w:val="32"/>
        </w:rPr>
      </w:pPr>
    </w:p>
    <w:p w14:paraId="3E336389">
      <w:pPr>
        <w:snapToGrid w:val="0"/>
        <w:spacing w:line="360" w:lineRule="auto"/>
        <w:ind w:right="480"/>
        <w:jc w:val="center"/>
        <w:rPr>
          <w:rFonts w:ascii="宋体" w:hAnsi="宋体" w:cs="宋体"/>
          <w:b/>
          <w:kern w:val="0"/>
          <w:sz w:val="32"/>
          <w:szCs w:val="32"/>
        </w:rPr>
      </w:pPr>
    </w:p>
    <w:p w14:paraId="26EB770F">
      <w:pPr>
        <w:snapToGrid w:val="0"/>
        <w:spacing w:line="360" w:lineRule="auto"/>
        <w:ind w:right="480"/>
        <w:jc w:val="center"/>
        <w:rPr>
          <w:rFonts w:ascii="宋体" w:hAnsi="宋体" w:cs="宋体"/>
          <w:b/>
          <w:kern w:val="0"/>
          <w:sz w:val="32"/>
          <w:szCs w:val="32"/>
        </w:rPr>
      </w:pPr>
    </w:p>
    <w:p w14:paraId="34386B02">
      <w:pPr>
        <w:snapToGrid w:val="0"/>
        <w:spacing w:line="360" w:lineRule="auto"/>
        <w:ind w:right="480"/>
        <w:jc w:val="center"/>
        <w:rPr>
          <w:rFonts w:ascii="宋体" w:hAnsi="宋体" w:cs="宋体"/>
          <w:b/>
          <w:kern w:val="0"/>
          <w:sz w:val="32"/>
          <w:szCs w:val="32"/>
        </w:rPr>
      </w:pPr>
    </w:p>
    <w:p w14:paraId="2E66FECF">
      <w:pPr>
        <w:snapToGrid w:val="0"/>
        <w:spacing w:line="360" w:lineRule="auto"/>
        <w:ind w:right="480"/>
        <w:jc w:val="center"/>
        <w:rPr>
          <w:rFonts w:ascii="宋体" w:hAnsi="宋体" w:cs="宋体"/>
          <w:b/>
          <w:kern w:val="0"/>
          <w:sz w:val="32"/>
          <w:szCs w:val="32"/>
        </w:rPr>
      </w:pPr>
    </w:p>
    <w:p w14:paraId="4325D68F">
      <w:pPr>
        <w:snapToGrid w:val="0"/>
        <w:spacing w:line="360" w:lineRule="auto"/>
        <w:ind w:right="480"/>
        <w:jc w:val="center"/>
        <w:rPr>
          <w:rFonts w:ascii="宋体" w:hAnsi="宋体" w:cs="宋体"/>
          <w:b/>
          <w:kern w:val="0"/>
          <w:sz w:val="32"/>
          <w:szCs w:val="32"/>
        </w:rPr>
      </w:pPr>
    </w:p>
    <w:p w14:paraId="050B8162">
      <w:pPr>
        <w:snapToGrid w:val="0"/>
        <w:spacing w:line="360" w:lineRule="auto"/>
        <w:ind w:right="480"/>
        <w:jc w:val="center"/>
        <w:rPr>
          <w:rFonts w:ascii="宋体" w:hAnsi="宋体" w:cs="宋体"/>
          <w:b/>
          <w:kern w:val="0"/>
          <w:sz w:val="32"/>
          <w:szCs w:val="32"/>
        </w:rPr>
      </w:pPr>
    </w:p>
    <w:p w14:paraId="39D61E68">
      <w:pPr>
        <w:snapToGrid w:val="0"/>
        <w:spacing w:line="360" w:lineRule="auto"/>
        <w:ind w:right="480"/>
        <w:jc w:val="center"/>
        <w:rPr>
          <w:rFonts w:ascii="宋体" w:hAnsi="宋体" w:cs="宋体"/>
          <w:b/>
          <w:kern w:val="0"/>
          <w:sz w:val="32"/>
          <w:szCs w:val="32"/>
        </w:rPr>
      </w:pPr>
    </w:p>
    <w:p w14:paraId="7848AE37">
      <w:pPr>
        <w:snapToGrid w:val="0"/>
        <w:spacing w:line="360" w:lineRule="auto"/>
        <w:ind w:right="480"/>
        <w:jc w:val="center"/>
        <w:rPr>
          <w:rFonts w:ascii="宋体" w:hAnsi="宋体" w:cs="宋体"/>
          <w:b/>
          <w:kern w:val="0"/>
          <w:sz w:val="32"/>
          <w:szCs w:val="32"/>
        </w:rPr>
      </w:pPr>
    </w:p>
    <w:p w14:paraId="1833A6A3">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6E9566A">
      <w:pPr>
        <w:pStyle w:val="4"/>
        <w:bidi w:val="0"/>
      </w:pPr>
      <w:bookmarkStart w:id="474" w:name="_Toc28115"/>
      <w:bookmarkStart w:id="475" w:name="_Toc16712"/>
      <w:r>
        <w:rPr>
          <w:rFonts w:hint="eastAsia"/>
        </w:rPr>
        <w:t>一、开标一览表（报价表）</w:t>
      </w:r>
      <w:bookmarkEnd w:id="474"/>
      <w:bookmarkEnd w:id="475"/>
    </w:p>
    <w:p w14:paraId="4B38A57D">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091E7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6D9C20E4">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113E68C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14:paraId="2B6AA56B">
            <w:pPr>
              <w:pStyle w:val="486"/>
              <w:bidi w:val="0"/>
              <w:ind w:left="0" w:leftChars="0" w:firstLine="0" w:firstLineChars="0"/>
              <w:jc w:val="center"/>
              <w:rPr>
                <w:rFonts w:hint="eastAsia"/>
                <w:b/>
                <w:bCs/>
              </w:rPr>
            </w:pPr>
            <w:r>
              <w:rPr>
                <w:rFonts w:hint="eastAsia"/>
                <w:b/>
                <w:bCs/>
              </w:rPr>
              <w:t>序号</w:t>
            </w:r>
          </w:p>
        </w:tc>
        <w:tc>
          <w:tcPr>
            <w:tcW w:w="2762" w:type="dxa"/>
            <w:noWrap w:val="0"/>
            <w:vAlign w:val="center"/>
          </w:tcPr>
          <w:p w14:paraId="6EEBDD2C">
            <w:pPr>
              <w:pStyle w:val="486"/>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14:paraId="25B4C4B9">
            <w:pPr>
              <w:pStyle w:val="486"/>
              <w:bidi w:val="0"/>
              <w:ind w:left="0" w:leftChars="0" w:firstLine="0" w:firstLineChars="0"/>
              <w:jc w:val="center"/>
              <w:rPr>
                <w:rFonts w:hint="eastAsia"/>
                <w:b/>
                <w:bCs/>
              </w:rPr>
            </w:pPr>
            <w:r>
              <w:rPr>
                <w:rFonts w:hint="eastAsia"/>
                <w:b/>
                <w:bCs/>
              </w:rPr>
              <w:t>数量</w:t>
            </w:r>
          </w:p>
        </w:tc>
        <w:tc>
          <w:tcPr>
            <w:tcW w:w="1225" w:type="dxa"/>
            <w:noWrap w:val="0"/>
            <w:vAlign w:val="center"/>
          </w:tcPr>
          <w:p w14:paraId="5EBCDDF1">
            <w:pPr>
              <w:pStyle w:val="486"/>
              <w:bidi w:val="0"/>
              <w:ind w:left="0" w:leftChars="0" w:firstLine="0" w:firstLineChars="0"/>
              <w:jc w:val="center"/>
              <w:rPr>
                <w:rFonts w:hint="eastAsia"/>
                <w:b/>
                <w:bCs/>
              </w:rPr>
            </w:pPr>
            <w:r>
              <w:rPr>
                <w:rFonts w:hint="eastAsia"/>
                <w:b/>
                <w:bCs/>
              </w:rPr>
              <w:t>单价</w:t>
            </w:r>
          </w:p>
        </w:tc>
        <w:tc>
          <w:tcPr>
            <w:tcW w:w="1890" w:type="dxa"/>
            <w:noWrap w:val="0"/>
            <w:vAlign w:val="center"/>
          </w:tcPr>
          <w:p w14:paraId="21F42B86">
            <w:pPr>
              <w:pStyle w:val="486"/>
              <w:bidi w:val="0"/>
              <w:ind w:left="0" w:leftChars="0" w:firstLine="0" w:firstLineChars="0"/>
              <w:jc w:val="center"/>
              <w:rPr>
                <w:rFonts w:hint="eastAsia"/>
                <w:b/>
                <w:bCs/>
              </w:rPr>
            </w:pPr>
            <w:r>
              <w:rPr>
                <w:rFonts w:hint="eastAsia"/>
                <w:b/>
                <w:bCs/>
              </w:rPr>
              <w:t>总价</w:t>
            </w:r>
          </w:p>
        </w:tc>
        <w:tc>
          <w:tcPr>
            <w:tcW w:w="1220" w:type="dxa"/>
            <w:noWrap w:val="0"/>
            <w:vAlign w:val="center"/>
          </w:tcPr>
          <w:p w14:paraId="76685FB9">
            <w:pPr>
              <w:pStyle w:val="486"/>
              <w:bidi w:val="0"/>
              <w:ind w:left="0" w:leftChars="0" w:firstLine="0" w:firstLineChars="0"/>
              <w:jc w:val="center"/>
              <w:rPr>
                <w:rFonts w:hint="eastAsia"/>
                <w:b/>
                <w:bCs/>
              </w:rPr>
            </w:pPr>
            <w:r>
              <w:rPr>
                <w:rFonts w:hint="eastAsia"/>
                <w:b/>
                <w:bCs/>
              </w:rPr>
              <w:t>备注</w:t>
            </w:r>
          </w:p>
        </w:tc>
      </w:tr>
      <w:tr w14:paraId="46F8E91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14:paraId="56D2A0D9">
            <w:pPr>
              <w:pStyle w:val="486"/>
              <w:bidi w:val="0"/>
              <w:ind w:left="0" w:leftChars="0" w:firstLine="0" w:firstLineChars="0"/>
              <w:jc w:val="center"/>
              <w:rPr>
                <w:rFonts w:hint="eastAsia"/>
                <w:b/>
                <w:bCs/>
              </w:rPr>
            </w:pPr>
          </w:p>
        </w:tc>
        <w:tc>
          <w:tcPr>
            <w:tcW w:w="2762" w:type="dxa"/>
            <w:noWrap w:val="0"/>
            <w:vAlign w:val="center"/>
          </w:tcPr>
          <w:p w14:paraId="7D63C5B3">
            <w:pPr>
              <w:pStyle w:val="486"/>
              <w:bidi w:val="0"/>
              <w:ind w:left="0" w:leftChars="0" w:firstLine="0" w:firstLineChars="0"/>
              <w:jc w:val="center"/>
              <w:rPr>
                <w:rFonts w:hint="eastAsia"/>
                <w:b/>
                <w:bCs/>
              </w:rPr>
            </w:pPr>
          </w:p>
        </w:tc>
        <w:tc>
          <w:tcPr>
            <w:tcW w:w="1796" w:type="dxa"/>
            <w:noWrap w:val="0"/>
            <w:vAlign w:val="center"/>
          </w:tcPr>
          <w:p w14:paraId="07FDB162">
            <w:pPr>
              <w:pStyle w:val="486"/>
              <w:bidi w:val="0"/>
              <w:ind w:left="0" w:leftChars="0" w:firstLine="0" w:firstLineChars="0"/>
              <w:jc w:val="center"/>
              <w:rPr>
                <w:rFonts w:hint="eastAsia"/>
                <w:b/>
                <w:bCs/>
              </w:rPr>
            </w:pPr>
          </w:p>
        </w:tc>
        <w:tc>
          <w:tcPr>
            <w:tcW w:w="1225" w:type="dxa"/>
            <w:noWrap w:val="0"/>
            <w:vAlign w:val="center"/>
          </w:tcPr>
          <w:p w14:paraId="54111121">
            <w:pPr>
              <w:pStyle w:val="486"/>
              <w:bidi w:val="0"/>
              <w:ind w:left="0" w:leftChars="0" w:firstLine="0" w:firstLineChars="0"/>
              <w:jc w:val="center"/>
              <w:rPr>
                <w:rFonts w:hint="eastAsia"/>
                <w:b/>
                <w:bCs/>
              </w:rPr>
            </w:pPr>
          </w:p>
        </w:tc>
        <w:tc>
          <w:tcPr>
            <w:tcW w:w="1890" w:type="dxa"/>
            <w:noWrap w:val="0"/>
            <w:vAlign w:val="center"/>
          </w:tcPr>
          <w:p w14:paraId="516D223C">
            <w:pPr>
              <w:pStyle w:val="486"/>
              <w:bidi w:val="0"/>
              <w:ind w:left="0" w:leftChars="0" w:firstLine="0" w:firstLineChars="0"/>
              <w:jc w:val="center"/>
              <w:rPr>
                <w:rFonts w:hint="eastAsia"/>
                <w:b/>
                <w:bCs/>
              </w:rPr>
            </w:pPr>
          </w:p>
        </w:tc>
        <w:tc>
          <w:tcPr>
            <w:tcW w:w="1220" w:type="dxa"/>
            <w:noWrap w:val="0"/>
            <w:vAlign w:val="center"/>
          </w:tcPr>
          <w:p w14:paraId="32656451">
            <w:pPr>
              <w:pStyle w:val="486"/>
              <w:bidi w:val="0"/>
              <w:ind w:left="0" w:leftChars="0" w:firstLine="0" w:firstLineChars="0"/>
              <w:jc w:val="center"/>
              <w:rPr>
                <w:rFonts w:hint="eastAsia"/>
                <w:b/>
                <w:bCs/>
              </w:rPr>
            </w:pPr>
          </w:p>
        </w:tc>
      </w:tr>
      <w:tr w14:paraId="4A39C91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2F43C3F0">
            <w:pPr>
              <w:pStyle w:val="486"/>
              <w:bidi w:val="0"/>
              <w:ind w:left="0" w:leftChars="0" w:firstLine="0" w:firstLineChars="0"/>
              <w:jc w:val="center"/>
              <w:rPr>
                <w:rFonts w:hint="eastAsia"/>
                <w:b/>
                <w:bCs/>
              </w:rPr>
            </w:pPr>
          </w:p>
        </w:tc>
        <w:tc>
          <w:tcPr>
            <w:tcW w:w="2762" w:type="dxa"/>
            <w:noWrap w:val="0"/>
            <w:vAlign w:val="center"/>
          </w:tcPr>
          <w:p w14:paraId="5099BACE">
            <w:pPr>
              <w:pStyle w:val="486"/>
              <w:bidi w:val="0"/>
              <w:ind w:left="0" w:leftChars="0" w:firstLine="0" w:firstLineChars="0"/>
              <w:jc w:val="center"/>
              <w:rPr>
                <w:rFonts w:hint="eastAsia"/>
                <w:b/>
                <w:bCs/>
              </w:rPr>
            </w:pPr>
          </w:p>
        </w:tc>
        <w:tc>
          <w:tcPr>
            <w:tcW w:w="1796" w:type="dxa"/>
            <w:noWrap w:val="0"/>
            <w:vAlign w:val="center"/>
          </w:tcPr>
          <w:p w14:paraId="34DA3860">
            <w:pPr>
              <w:pStyle w:val="486"/>
              <w:bidi w:val="0"/>
              <w:ind w:left="0" w:leftChars="0" w:firstLine="0" w:firstLineChars="0"/>
              <w:jc w:val="center"/>
              <w:rPr>
                <w:rFonts w:hint="eastAsia"/>
                <w:b/>
                <w:bCs/>
              </w:rPr>
            </w:pPr>
          </w:p>
        </w:tc>
        <w:tc>
          <w:tcPr>
            <w:tcW w:w="1225" w:type="dxa"/>
            <w:noWrap w:val="0"/>
            <w:vAlign w:val="center"/>
          </w:tcPr>
          <w:p w14:paraId="447BE92C">
            <w:pPr>
              <w:pStyle w:val="486"/>
              <w:bidi w:val="0"/>
              <w:ind w:left="0" w:leftChars="0" w:firstLine="0" w:firstLineChars="0"/>
              <w:jc w:val="center"/>
              <w:rPr>
                <w:rFonts w:hint="eastAsia"/>
                <w:b/>
                <w:bCs/>
              </w:rPr>
            </w:pPr>
          </w:p>
        </w:tc>
        <w:tc>
          <w:tcPr>
            <w:tcW w:w="1890" w:type="dxa"/>
            <w:noWrap w:val="0"/>
            <w:vAlign w:val="center"/>
          </w:tcPr>
          <w:p w14:paraId="435649F2">
            <w:pPr>
              <w:pStyle w:val="486"/>
              <w:bidi w:val="0"/>
              <w:ind w:left="0" w:leftChars="0" w:firstLine="0" w:firstLineChars="0"/>
              <w:jc w:val="center"/>
              <w:rPr>
                <w:rFonts w:hint="eastAsia"/>
                <w:b/>
                <w:bCs/>
              </w:rPr>
            </w:pPr>
          </w:p>
        </w:tc>
        <w:tc>
          <w:tcPr>
            <w:tcW w:w="1220" w:type="dxa"/>
            <w:noWrap w:val="0"/>
            <w:vAlign w:val="center"/>
          </w:tcPr>
          <w:p w14:paraId="6A92F6BF">
            <w:pPr>
              <w:pStyle w:val="486"/>
              <w:bidi w:val="0"/>
              <w:ind w:left="0" w:leftChars="0" w:firstLine="0" w:firstLineChars="0"/>
              <w:jc w:val="center"/>
              <w:rPr>
                <w:rFonts w:hint="eastAsia"/>
                <w:b/>
                <w:bCs/>
              </w:rPr>
            </w:pPr>
          </w:p>
        </w:tc>
      </w:tr>
      <w:tr w14:paraId="12370C6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57C78436">
            <w:pPr>
              <w:pStyle w:val="486"/>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14:paraId="397917B9">
            <w:pPr>
              <w:pStyle w:val="486"/>
              <w:bidi w:val="0"/>
              <w:ind w:left="0" w:leftChars="0" w:firstLine="0" w:firstLineChars="0"/>
              <w:jc w:val="center"/>
              <w:rPr>
                <w:rFonts w:hint="eastAsia"/>
                <w:b/>
                <w:bCs/>
              </w:rPr>
            </w:pPr>
          </w:p>
        </w:tc>
        <w:tc>
          <w:tcPr>
            <w:tcW w:w="1796" w:type="dxa"/>
            <w:noWrap w:val="0"/>
            <w:vAlign w:val="center"/>
          </w:tcPr>
          <w:p w14:paraId="3D192C61">
            <w:pPr>
              <w:pStyle w:val="486"/>
              <w:bidi w:val="0"/>
              <w:ind w:left="0" w:leftChars="0" w:firstLine="0" w:firstLineChars="0"/>
              <w:jc w:val="center"/>
              <w:rPr>
                <w:rFonts w:hint="eastAsia"/>
                <w:b/>
                <w:bCs/>
              </w:rPr>
            </w:pPr>
          </w:p>
        </w:tc>
        <w:tc>
          <w:tcPr>
            <w:tcW w:w="1225" w:type="dxa"/>
            <w:noWrap w:val="0"/>
            <w:vAlign w:val="center"/>
          </w:tcPr>
          <w:p w14:paraId="2E6B9DDD">
            <w:pPr>
              <w:pStyle w:val="486"/>
              <w:bidi w:val="0"/>
              <w:ind w:left="0" w:leftChars="0" w:firstLine="0" w:firstLineChars="0"/>
              <w:jc w:val="center"/>
              <w:rPr>
                <w:rFonts w:hint="eastAsia"/>
                <w:b/>
                <w:bCs/>
              </w:rPr>
            </w:pPr>
          </w:p>
        </w:tc>
        <w:tc>
          <w:tcPr>
            <w:tcW w:w="1890" w:type="dxa"/>
            <w:noWrap w:val="0"/>
            <w:vAlign w:val="center"/>
          </w:tcPr>
          <w:p w14:paraId="43D3658E">
            <w:pPr>
              <w:pStyle w:val="486"/>
              <w:bidi w:val="0"/>
              <w:ind w:left="0" w:leftChars="0" w:firstLine="0" w:firstLineChars="0"/>
              <w:jc w:val="center"/>
              <w:rPr>
                <w:rFonts w:hint="eastAsia"/>
                <w:b/>
                <w:bCs/>
              </w:rPr>
            </w:pPr>
          </w:p>
        </w:tc>
        <w:tc>
          <w:tcPr>
            <w:tcW w:w="1220" w:type="dxa"/>
            <w:noWrap w:val="0"/>
            <w:vAlign w:val="center"/>
          </w:tcPr>
          <w:p w14:paraId="304EB811">
            <w:pPr>
              <w:pStyle w:val="486"/>
              <w:bidi w:val="0"/>
              <w:ind w:left="0" w:leftChars="0" w:firstLine="0" w:firstLineChars="0"/>
              <w:jc w:val="center"/>
              <w:rPr>
                <w:rFonts w:hint="eastAsia"/>
                <w:b/>
                <w:bCs/>
              </w:rPr>
            </w:pPr>
          </w:p>
        </w:tc>
      </w:tr>
      <w:tr w14:paraId="1759584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14:paraId="351D3811">
            <w:pPr>
              <w:pStyle w:val="486"/>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14:paraId="0A0DE7E3">
            <w:pPr>
              <w:pStyle w:val="486"/>
              <w:bidi w:val="0"/>
              <w:ind w:left="0" w:leftChars="0" w:firstLine="0" w:firstLineChars="0"/>
              <w:jc w:val="center"/>
              <w:rPr>
                <w:rFonts w:hint="eastAsia"/>
                <w:b/>
                <w:bCs/>
              </w:rPr>
            </w:pPr>
          </w:p>
        </w:tc>
      </w:tr>
      <w:tr w14:paraId="00DC1A1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14:paraId="05D456B4">
            <w:pPr>
              <w:pStyle w:val="486"/>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14:paraId="56B6BBA7">
            <w:pPr>
              <w:pStyle w:val="486"/>
              <w:bidi w:val="0"/>
              <w:ind w:left="0" w:leftChars="0" w:firstLine="0" w:firstLineChars="0"/>
              <w:jc w:val="center"/>
              <w:rPr>
                <w:rFonts w:hint="eastAsia"/>
                <w:b/>
                <w:bCs/>
              </w:rPr>
            </w:pPr>
          </w:p>
        </w:tc>
      </w:tr>
      <w:tr w14:paraId="3C5CF6E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14:paraId="2AA5F3BE">
            <w:pPr>
              <w:pStyle w:val="486"/>
              <w:bidi w:val="0"/>
              <w:ind w:left="0" w:leftChars="0" w:firstLine="0" w:firstLineChars="0"/>
              <w:jc w:val="center"/>
              <w:rPr>
                <w:rFonts w:hint="default"/>
                <w:b/>
                <w:bCs/>
                <w:lang w:val="en-US" w:eastAsia="zh-CN"/>
              </w:rPr>
            </w:pPr>
            <w:r>
              <w:rPr>
                <w:rFonts w:hint="eastAsia"/>
                <w:b/>
                <w:bCs/>
                <w:lang w:val="en-US" w:eastAsia="zh-CN"/>
              </w:rPr>
              <w:t>服务期</w:t>
            </w:r>
          </w:p>
        </w:tc>
        <w:tc>
          <w:tcPr>
            <w:tcW w:w="6131" w:type="dxa"/>
            <w:gridSpan w:val="4"/>
            <w:noWrap w:val="0"/>
            <w:vAlign w:val="center"/>
          </w:tcPr>
          <w:p w14:paraId="313CA65B">
            <w:pPr>
              <w:pStyle w:val="486"/>
              <w:bidi w:val="0"/>
              <w:ind w:left="0" w:leftChars="0" w:firstLine="0" w:firstLineChars="0"/>
              <w:jc w:val="center"/>
              <w:rPr>
                <w:rFonts w:hint="eastAsia"/>
                <w:b/>
                <w:bCs/>
              </w:rPr>
            </w:pPr>
          </w:p>
        </w:tc>
      </w:tr>
    </w:tbl>
    <w:p w14:paraId="502ED23B">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14:paraId="33B2C74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4B1919A9">
      <w:pPr>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p>
    <w:p w14:paraId="5604AC24">
      <w:pPr>
        <w:spacing w:line="360" w:lineRule="auto"/>
        <w:ind w:firstLine="4080" w:firstLineChars="1700"/>
        <w:rPr>
          <w:rFonts w:hint="eastAsia" w:ascii="宋体" w:hAnsi="宋体" w:cs="宋体"/>
          <w:kern w:val="0"/>
          <w:sz w:val="24"/>
          <w:lang w:val="zh-CN"/>
        </w:rPr>
      </w:pPr>
    </w:p>
    <w:p w14:paraId="56C8E08C">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CF29912">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AF3BCE9">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212380F">
      <w:pPr>
        <w:pStyle w:val="4"/>
        <w:bidi w:val="0"/>
        <w:rPr>
          <w:color w:val="auto"/>
        </w:rPr>
      </w:pPr>
      <w:bookmarkStart w:id="476" w:name="_Toc19337"/>
      <w:bookmarkStart w:id="477" w:name="_Toc1047"/>
      <w:r>
        <w:rPr>
          <w:rFonts w:hint="eastAsia"/>
          <w:color w:val="auto"/>
        </w:rPr>
        <w:t>二、</w:t>
      </w:r>
      <w:r>
        <w:rPr>
          <w:rFonts w:hint="eastAsia"/>
          <w:color w:val="auto"/>
          <w:lang w:eastAsia="zh-CN"/>
        </w:rPr>
        <w:t>报价情况说明</w:t>
      </w:r>
      <w:r>
        <w:rPr>
          <w:rFonts w:hint="eastAsia"/>
          <w:color w:val="auto"/>
        </w:rPr>
        <w:t>（如有）</w:t>
      </w:r>
    </w:p>
    <w:p w14:paraId="63D41C54">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14:paraId="493B25AC">
      <w:pPr>
        <w:pStyle w:val="4"/>
        <w:bidi w:val="0"/>
        <w:jc w:val="both"/>
        <w:rPr>
          <w:rFonts w:hint="eastAsia"/>
          <w:color w:val="auto"/>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bookmarkEnd w:id="476"/>
    <w:bookmarkEnd w:id="477"/>
    <w:p w14:paraId="076FAA8C">
      <w:pPr>
        <w:pStyle w:val="4"/>
        <w:bidi w:val="0"/>
      </w:pPr>
      <w:bookmarkStart w:id="478" w:name="_Toc465665161"/>
      <w:bookmarkStart w:id="479" w:name="_Toc30052"/>
      <w:bookmarkStart w:id="480" w:name="_Toc29378"/>
      <w:r>
        <w:rPr>
          <w:rFonts w:hint="eastAsia"/>
        </w:rPr>
        <w:t>附件</w:t>
      </w:r>
      <w:bookmarkEnd w:id="478"/>
      <w:bookmarkEnd w:id="479"/>
      <w:bookmarkEnd w:id="480"/>
    </w:p>
    <w:p w14:paraId="669DE6E7">
      <w:pPr>
        <w:pStyle w:val="5"/>
        <w:bidi w:val="0"/>
      </w:pPr>
      <w:r>
        <w:rPr>
          <w:rFonts w:hint="eastAsia"/>
        </w:rPr>
        <w:t>附件1：残疾人福利性单位声明函</w:t>
      </w:r>
    </w:p>
    <w:p w14:paraId="415A44F4">
      <w:pPr>
        <w:spacing w:line="360" w:lineRule="auto"/>
        <w:rPr>
          <w:rFonts w:ascii="宋体" w:hAnsi="宋体" w:cs="宋体"/>
          <w:b/>
          <w:spacing w:val="6"/>
          <w:sz w:val="32"/>
          <w:szCs w:val="32"/>
        </w:rPr>
      </w:pPr>
    </w:p>
    <w:p w14:paraId="0E794A7D">
      <w:pPr>
        <w:spacing w:line="360" w:lineRule="auto"/>
        <w:jc w:val="center"/>
        <w:rPr>
          <w:rFonts w:ascii="宋体" w:hAnsi="宋体" w:cs="宋体"/>
          <w:b/>
          <w:spacing w:val="6"/>
          <w:sz w:val="32"/>
          <w:szCs w:val="32"/>
        </w:rPr>
      </w:pPr>
      <w:bookmarkStart w:id="481" w:name="OLE_LINK13"/>
      <w:bookmarkStart w:id="482" w:name="OLE_LINK14"/>
      <w:r>
        <w:rPr>
          <w:rFonts w:hint="eastAsia" w:ascii="宋体" w:hAnsi="宋体" w:cs="宋体"/>
          <w:b/>
          <w:spacing w:val="6"/>
          <w:sz w:val="32"/>
          <w:szCs w:val="32"/>
        </w:rPr>
        <w:t>残疾人福利性单位声明函</w:t>
      </w:r>
    </w:p>
    <w:bookmarkEnd w:id="481"/>
    <w:bookmarkEnd w:id="482"/>
    <w:p w14:paraId="4F35862F">
      <w:pPr>
        <w:spacing w:line="360" w:lineRule="auto"/>
        <w:rPr>
          <w:rFonts w:ascii="宋体" w:hAnsi="宋体" w:cs="宋体"/>
          <w:b/>
          <w:spacing w:val="6"/>
          <w:sz w:val="30"/>
          <w:szCs w:val="30"/>
        </w:rPr>
      </w:pPr>
    </w:p>
    <w:p w14:paraId="423DD65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14:paraId="7EC27B5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626EC30">
      <w:pPr>
        <w:spacing w:line="360" w:lineRule="auto"/>
        <w:ind w:firstLine="480" w:firstLineChars="200"/>
        <w:rPr>
          <w:rFonts w:ascii="宋体" w:hAnsi="宋体" w:cs="宋体"/>
          <w:sz w:val="24"/>
        </w:rPr>
      </w:pPr>
    </w:p>
    <w:p w14:paraId="017155D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96E5BB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4D93FED">
      <w:pPr>
        <w:spacing w:line="360" w:lineRule="auto"/>
        <w:ind w:firstLine="480" w:firstLineChars="200"/>
        <w:rPr>
          <w:rFonts w:ascii="宋体" w:hAnsi="宋体" w:cs="宋体"/>
          <w:sz w:val="24"/>
        </w:rPr>
      </w:pPr>
    </w:p>
    <w:p w14:paraId="34560D5C">
      <w:pPr>
        <w:spacing w:line="360" w:lineRule="auto"/>
        <w:ind w:firstLine="480" w:firstLineChars="200"/>
        <w:rPr>
          <w:rFonts w:ascii="宋体" w:hAnsi="宋体" w:cs="宋体"/>
        </w:rPr>
      </w:pPr>
    </w:p>
    <w:p w14:paraId="5F69F675">
      <w:pPr>
        <w:spacing w:line="360" w:lineRule="auto"/>
        <w:ind w:firstLine="480" w:firstLineChars="200"/>
        <w:rPr>
          <w:rFonts w:ascii="宋体" w:hAnsi="宋体" w:cs="宋体"/>
        </w:rPr>
      </w:pPr>
    </w:p>
    <w:p w14:paraId="1BD62375">
      <w:pPr>
        <w:spacing w:line="360" w:lineRule="auto"/>
        <w:ind w:firstLine="480" w:firstLineChars="200"/>
        <w:rPr>
          <w:rFonts w:ascii="宋体" w:hAnsi="宋体" w:cs="宋体"/>
        </w:rPr>
      </w:pPr>
    </w:p>
    <w:p w14:paraId="10CC0404">
      <w:pPr>
        <w:spacing w:line="360" w:lineRule="auto"/>
        <w:ind w:firstLine="480" w:firstLineChars="200"/>
        <w:rPr>
          <w:rFonts w:ascii="宋体" w:hAnsi="宋体" w:cs="宋体"/>
        </w:rPr>
      </w:pPr>
    </w:p>
    <w:p w14:paraId="5B373BCF">
      <w:pPr>
        <w:spacing w:line="360" w:lineRule="auto"/>
        <w:rPr>
          <w:rFonts w:ascii="宋体" w:hAnsi="宋体" w:cs="宋体"/>
          <w:b/>
          <w:sz w:val="24"/>
        </w:rPr>
      </w:pPr>
    </w:p>
    <w:p w14:paraId="06284776">
      <w:pPr>
        <w:spacing w:line="360" w:lineRule="auto"/>
        <w:rPr>
          <w:rFonts w:ascii="宋体" w:hAnsi="宋体" w:cs="宋体"/>
          <w:b/>
          <w:sz w:val="24"/>
        </w:rPr>
      </w:pPr>
    </w:p>
    <w:p w14:paraId="1DECDFFA">
      <w:pPr>
        <w:spacing w:line="360" w:lineRule="auto"/>
        <w:rPr>
          <w:rFonts w:ascii="宋体" w:hAnsi="宋体" w:cs="宋体"/>
          <w:b/>
          <w:sz w:val="24"/>
        </w:rPr>
      </w:pPr>
    </w:p>
    <w:p w14:paraId="73975597">
      <w:pPr>
        <w:spacing w:line="360" w:lineRule="auto"/>
        <w:rPr>
          <w:rFonts w:ascii="宋体" w:hAnsi="宋体" w:cs="宋体"/>
          <w:b/>
          <w:sz w:val="24"/>
        </w:rPr>
      </w:pPr>
    </w:p>
    <w:p w14:paraId="32ABCBC8">
      <w:pPr>
        <w:spacing w:line="360" w:lineRule="auto"/>
        <w:rPr>
          <w:rFonts w:ascii="宋体" w:hAnsi="宋体" w:cs="宋体"/>
          <w:b/>
          <w:sz w:val="24"/>
        </w:rPr>
      </w:pPr>
    </w:p>
    <w:p w14:paraId="24819CC4">
      <w:pPr>
        <w:spacing w:line="360" w:lineRule="auto"/>
        <w:rPr>
          <w:rFonts w:ascii="宋体" w:hAnsi="宋体" w:cs="宋体"/>
          <w:b/>
          <w:sz w:val="24"/>
        </w:rPr>
      </w:pPr>
    </w:p>
    <w:p w14:paraId="797D0E30">
      <w:pPr>
        <w:spacing w:line="360" w:lineRule="auto"/>
        <w:rPr>
          <w:rFonts w:ascii="宋体" w:hAnsi="宋体" w:cs="宋体"/>
          <w:b/>
          <w:sz w:val="24"/>
        </w:rPr>
      </w:pPr>
    </w:p>
    <w:p w14:paraId="5E02CD56">
      <w:pPr>
        <w:spacing w:line="360" w:lineRule="auto"/>
        <w:rPr>
          <w:rFonts w:ascii="宋体" w:hAnsi="宋体" w:cs="宋体"/>
          <w:b/>
          <w:sz w:val="24"/>
        </w:rPr>
      </w:pPr>
    </w:p>
    <w:p w14:paraId="5EEB97D0">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00517A">
      <w:pPr>
        <w:pStyle w:val="5"/>
        <w:bidi w:val="0"/>
      </w:pPr>
      <w:r>
        <w:rPr>
          <w:rFonts w:hint="eastAsia"/>
        </w:rPr>
        <w:t>附件2：质疑函范本及制作说明</w:t>
      </w:r>
    </w:p>
    <w:p w14:paraId="1E0AB5D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E2C4DC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0DB7D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E70FC8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3E3FB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95BF9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EF68C8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14:paraId="59767C2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17DEED">
      <w:pPr>
        <w:snapToGrid w:val="0"/>
        <w:spacing w:line="360" w:lineRule="auto"/>
        <w:rPr>
          <w:rFonts w:ascii="宋体" w:hAnsi="宋体" w:cs="宋体"/>
          <w:bCs/>
          <w:sz w:val="24"/>
        </w:rPr>
      </w:pPr>
      <w:r>
        <w:rPr>
          <w:rFonts w:hint="eastAsia" w:ascii="宋体" w:hAnsi="宋体" w:cs="宋体"/>
          <w:bCs/>
          <w:sz w:val="24"/>
        </w:rPr>
        <w:t>二、质疑项目基本情况</w:t>
      </w:r>
    </w:p>
    <w:p w14:paraId="79B463F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DECD9E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3E646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014CD8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9385248">
      <w:pPr>
        <w:snapToGrid w:val="0"/>
        <w:spacing w:line="360" w:lineRule="auto"/>
        <w:rPr>
          <w:rFonts w:ascii="宋体" w:hAnsi="宋体" w:cs="宋体"/>
          <w:bCs/>
          <w:sz w:val="24"/>
        </w:rPr>
      </w:pPr>
      <w:r>
        <w:rPr>
          <w:rFonts w:hint="eastAsia" w:ascii="宋体" w:hAnsi="宋体" w:cs="宋体"/>
          <w:bCs/>
          <w:sz w:val="24"/>
        </w:rPr>
        <w:t>三、质疑事项具体内容</w:t>
      </w:r>
    </w:p>
    <w:p w14:paraId="4E94FF8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94BE0E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14132B">
      <w:pPr>
        <w:snapToGrid w:val="0"/>
        <w:spacing w:line="360" w:lineRule="auto"/>
        <w:rPr>
          <w:rFonts w:ascii="宋体" w:hAnsi="宋体" w:cs="宋体"/>
          <w:sz w:val="24"/>
        </w:rPr>
      </w:pPr>
      <w:r>
        <w:rPr>
          <w:rFonts w:hint="eastAsia" w:ascii="宋体" w:hAnsi="宋体" w:cs="宋体"/>
          <w:sz w:val="24"/>
          <w:u w:val="dotted"/>
        </w:rPr>
        <w:t xml:space="preserve">                                                                         </w:t>
      </w:r>
    </w:p>
    <w:p w14:paraId="3E57600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05031F6">
      <w:pPr>
        <w:snapToGrid w:val="0"/>
        <w:spacing w:line="360" w:lineRule="auto"/>
        <w:rPr>
          <w:rFonts w:ascii="宋体" w:hAnsi="宋体" w:cs="宋体"/>
          <w:sz w:val="24"/>
          <w:u w:val="dotted"/>
        </w:rPr>
      </w:pPr>
      <w:r>
        <w:rPr>
          <w:rFonts w:hint="eastAsia" w:ascii="宋体" w:hAnsi="宋体" w:cs="宋体"/>
          <w:sz w:val="24"/>
          <w:u w:val="dotted"/>
        </w:rPr>
        <w:t xml:space="preserve">                                                                       </w:t>
      </w:r>
    </w:p>
    <w:p w14:paraId="4B064552">
      <w:pPr>
        <w:snapToGrid w:val="0"/>
        <w:spacing w:line="360" w:lineRule="auto"/>
        <w:rPr>
          <w:rFonts w:ascii="宋体" w:hAnsi="宋体" w:cs="宋体"/>
          <w:sz w:val="24"/>
          <w:u w:val="dotted"/>
        </w:rPr>
      </w:pPr>
      <w:r>
        <w:rPr>
          <w:rFonts w:hint="eastAsia" w:ascii="宋体" w:hAnsi="宋体" w:cs="宋体"/>
          <w:sz w:val="24"/>
        </w:rPr>
        <w:t>质疑事项2</w:t>
      </w:r>
    </w:p>
    <w:p w14:paraId="7FFAE9A8">
      <w:pPr>
        <w:snapToGrid w:val="0"/>
        <w:spacing w:line="360" w:lineRule="auto"/>
        <w:rPr>
          <w:rFonts w:ascii="宋体" w:hAnsi="宋体" w:cs="宋体"/>
          <w:sz w:val="24"/>
        </w:rPr>
      </w:pPr>
      <w:r>
        <w:rPr>
          <w:rFonts w:hint="eastAsia" w:ascii="宋体" w:hAnsi="宋体" w:cs="宋体"/>
          <w:sz w:val="24"/>
        </w:rPr>
        <w:t>……</w:t>
      </w:r>
    </w:p>
    <w:p w14:paraId="4330838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94FEC5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FD907C">
      <w:pPr>
        <w:spacing w:line="360" w:lineRule="auto"/>
        <w:rPr>
          <w:rFonts w:ascii="宋体" w:hAnsi="宋体" w:cs="宋体"/>
          <w:sz w:val="24"/>
        </w:rPr>
      </w:pPr>
      <w:r>
        <w:rPr>
          <w:rFonts w:hint="eastAsia" w:ascii="宋体" w:hAnsi="宋体" w:cs="宋体"/>
          <w:sz w:val="24"/>
        </w:rPr>
        <w:t xml:space="preserve">签字(签章)：                   公章：                      </w:t>
      </w:r>
    </w:p>
    <w:p w14:paraId="399E5E76">
      <w:pPr>
        <w:spacing w:line="360" w:lineRule="auto"/>
        <w:rPr>
          <w:rFonts w:ascii="宋体" w:hAnsi="宋体" w:cs="宋体"/>
          <w:sz w:val="24"/>
        </w:rPr>
      </w:pPr>
      <w:r>
        <w:rPr>
          <w:rFonts w:hint="eastAsia" w:ascii="宋体" w:hAnsi="宋体" w:cs="宋体"/>
          <w:sz w:val="24"/>
        </w:rPr>
        <w:t xml:space="preserve">日期：    </w:t>
      </w:r>
    </w:p>
    <w:p w14:paraId="5C2B634A">
      <w:pPr>
        <w:spacing w:line="360" w:lineRule="auto"/>
        <w:jc w:val="center"/>
        <w:rPr>
          <w:rFonts w:ascii="宋体" w:hAnsi="宋体" w:cs="宋体"/>
          <w:b/>
          <w:bCs/>
          <w:sz w:val="24"/>
        </w:rPr>
      </w:pPr>
    </w:p>
    <w:p w14:paraId="077E767C">
      <w:pPr>
        <w:spacing w:line="360" w:lineRule="auto"/>
        <w:rPr>
          <w:rFonts w:ascii="宋体" w:hAnsi="宋体" w:cs="宋体"/>
          <w:b/>
          <w:sz w:val="24"/>
        </w:rPr>
      </w:pPr>
    </w:p>
    <w:p w14:paraId="2902A76A">
      <w:pPr>
        <w:spacing w:line="360" w:lineRule="auto"/>
        <w:rPr>
          <w:rFonts w:ascii="宋体" w:hAnsi="宋体" w:cs="宋体"/>
          <w:b/>
          <w:sz w:val="24"/>
        </w:rPr>
      </w:pPr>
    </w:p>
    <w:p w14:paraId="41C14A3D">
      <w:pPr>
        <w:spacing w:line="360" w:lineRule="auto"/>
        <w:rPr>
          <w:rFonts w:ascii="宋体" w:hAnsi="宋体" w:cs="宋体"/>
          <w:b/>
          <w:sz w:val="24"/>
        </w:rPr>
      </w:pPr>
      <w:r>
        <w:rPr>
          <w:rFonts w:hint="eastAsia" w:ascii="宋体" w:hAnsi="宋体" w:cs="宋体"/>
          <w:b/>
          <w:sz w:val="24"/>
        </w:rPr>
        <w:t>质疑函制作说明：</w:t>
      </w:r>
    </w:p>
    <w:p w14:paraId="6D5D9BF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1E44B1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D1596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35E51A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4B3E41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1D0B90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3755AA1">
      <w:pPr>
        <w:widowControl/>
        <w:spacing w:line="360" w:lineRule="auto"/>
        <w:ind w:firstLine="600" w:firstLineChars="200"/>
        <w:jc w:val="left"/>
        <w:rPr>
          <w:rFonts w:ascii="宋体" w:hAnsi="宋体" w:cs="宋体"/>
          <w:sz w:val="30"/>
          <w:szCs w:val="30"/>
        </w:rPr>
      </w:pPr>
    </w:p>
    <w:p w14:paraId="6DADB652">
      <w:pPr>
        <w:spacing w:line="360" w:lineRule="auto"/>
        <w:jc w:val="center"/>
        <w:rPr>
          <w:rFonts w:ascii="宋体" w:hAnsi="宋体" w:cs="宋体"/>
          <w:b/>
          <w:spacing w:val="6"/>
          <w:sz w:val="32"/>
          <w:szCs w:val="32"/>
        </w:rPr>
      </w:pPr>
    </w:p>
    <w:p w14:paraId="384E73D1">
      <w:pPr>
        <w:spacing w:line="360" w:lineRule="auto"/>
        <w:jc w:val="center"/>
        <w:rPr>
          <w:rFonts w:ascii="宋体" w:hAnsi="宋体" w:cs="宋体"/>
          <w:b/>
          <w:spacing w:val="6"/>
          <w:sz w:val="32"/>
          <w:szCs w:val="32"/>
        </w:rPr>
      </w:pPr>
    </w:p>
    <w:p w14:paraId="3D830CE9">
      <w:pPr>
        <w:spacing w:line="360" w:lineRule="auto"/>
        <w:jc w:val="center"/>
        <w:rPr>
          <w:rFonts w:ascii="宋体" w:hAnsi="宋体" w:cs="宋体"/>
          <w:b/>
          <w:spacing w:val="6"/>
          <w:sz w:val="32"/>
          <w:szCs w:val="32"/>
        </w:rPr>
      </w:pPr>
    </w:p>
    <w:p w14:paraId="17D851D8">
      <w:pPr>
        <w:spacing w:line="360" w:lineRule="auto"/>
        <w:jc w:val="center"/>
        <w:rPr>
          <w:rFonts w:ascii="宋体" w:hAnsi="宋体" w:cs="宋体"/>
          <w:b/>
          <w:spacing w:val="6"/>
          <w:sz w:val="32"/>
          <w:szCs w:val="32"/>
        </w:rPr>
      </w:pPr>
    </w:p>
    <w:p w14:paraId="173B0261">
      <w:pPr>
        <w:spacing w:line="360" w:lineRule="auto"/>
        <w:jc w:val="center"/>
        <w:rPr>
          <w:rFonts w:ascii="宋体" w:hAnsi="宋体" w:cs="宋体"/>
          <w:b/>
          <w:spacing w:val="6"/>
          <w:sz w:val="32"/>
          <w:szCs w:val="32"/>
        </w:rPr>
      </w:pPr>
    </w:p>
    <w:p w14:paraId="671CBDBA">
      <w:pPr>
        <w:spacing w:line="360" w:lineRule="auto"/>
        <w:jc w:val="center"/>
        <w:rPr>
          <w:rFonts w:ascii="宋体" w:hAnsi="宋体" w:cs="宋体"/>
          <w:b/>
          <w:spacing w:val="6"/>
          <w:sz w:val="32"/>
          <w:szCs w:val="32"/>
        </w:rPr>
      </w:pPr>
    </w:p>
    <w:p w14:paraId="4A877D55">
      <w:pPr>
        <w:spacing w:line="360" w:lineRule="auto"/>
        <w:jc w:val="center"/>
        <w:rPr>
          <w:rFonts w:ascii="宋体" w:hAnsi="宋体" w:cs="宋体"/>
          <w:b/>
          <w:spacing w:val="6"/>
          <w:sz w:val="32"/>
          <w:szCs w:val="32"/>
        </w:rPr>
      </w:pPr>
    </w:p>
    <w:p w14:paraId="1E5813A5">
      <w:pPr>
        <w:spacing w:line="360" w:lineRule="auto"/>
        <w:jc w:val="center"/>
        <w:rPr>
          <w:rFonts w:ascii="宋体" w:hAnsi="宋体" w:cs="宋体"/>
          <w:b/>
          <w:spacing w:val="6"/>
          <w:sz w:val="32"/>
          <w:szCs w:val="32"/>
        </w:rPr>
      </w:pPr>
    </w:p>
    <w:p w14:paraId="1029EC9D">
      <w:pPr>
        <w:spacing w:line="360" w:lineRule="auto"/>
        <w:jc w:val="center"/>
        <w:rPr>
          <w:rFonts w:ascii="宋体" w:hAnsi="宋体" w:cs="宋体"/>
          <w:b/>
          <w:spacing w:val="6"/>
          <w:sz w:val="32"/>
          <w:szCs w:val="32"/>
        </w:rPr>
      </w:pPr>
    </w:p>
    <w:p w14:paraId="5740D00E">
      <w:pPr>
        <w:spacing w:line="360" w:lineRule="auto"/>
        <w:jc w:val="center"/>
        <w:rPr>
          <w:rFonts w:ascii="宋体" w:hAnsi="宋体" w:cs="宋体"/>
          <w:b/>
          <w:spacing w:val="6"/>
          <w:sz w:val="32"/>
          <w:szCs w:val="32"/>
        </w:rPr>
      </w:pPr>
    </w:p>
    <w:p w14:paraId="5EB38357">
      <w:pPr>
        <w:spacing w:line="360" w:lineRule="auto"/>
        <w:jc w:val="center"/>
        <w:rPr>
          <w:rFonts w:ascii="宋体" w:hAnsi="宋体" w:cs="宋体"/>
          <w:b/>
          <w:spacing w:val="6"/>
          <w:sz w:val="32"/>
          <w:szCs w:val="32"/>
        </w:rPr>
      </w:pPr>
    </w:p>
    <w:p w14:paraId="26A96031">
      <w:pPr>
        <w:spacing w:line="360" w:lineRule="auto"/>
        <w:jc w:val="center"/>
        <w:rPr>
          <w:rFonts w:ascii="宋体" w:hAnsi="宋体" w:cs="宋体"/>
          <w:b/>
          <w:spacing w:val="6"/>
          <w:sz w:val="32"/>
          <w:szCs w:val="32"/>
        </w:rPr>
      </w:pPr>
    </w:p>
    <w:p w14:paraId="77A2ADC2">
      <w:pPr>
        <w:spacing w:line="360" w:lineRule="auto"/>
        <w:jc w:val="left"/>
        <w:rPr>
          <w:rFonts w:ascii="宋体" w:hAnsi="宋体" w:cs="宋体"/>
          <w:b/>
          <w:spacing w:val="6"/>
          <w:sz w:val="32"/>
          <w:szCs w:val="32"/>
        </w:rPr>
      </w:pPr>
    </w:p>
    <w:p w14:paraId="0ACEA7B7">
      <w:pPr>
        <w:pStyle w:val="5"/>
        <w:bidi w:val="0"/>
      </w:pPr>
      <w:r>
        <w:rPr>
          <w:rFonts w:hint="eastAsia"/>
        </w:rPr>
        <w:t>附件3：投诉书范本及制作说明</w:t>
      </w:r>
    </w:p>
    <w:p w14:paraId="1B18AD33">
      <w:pPr>
        <w:spacing w:line="360" w:lineRule="auto"/>
        <w:jc w:val="center"/>
        <w:rPr>
          <w:rFonts w:ascii="宋体" w:hAnsi="宋体" w:cs="宋体"/>
          <w:b/>
          <w:sz w:val="24"/>
        </w:rPr>
      </w:pPr>
    </w:p>
    <w:p w14:paraId="1BBFE1B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E58F171">
      <w:pPr>
        <w:spacing w:line="360" w:lineRule="auto"/>
        <w:rPr>
          <w:rFonts w:ascii="宋体" w:hAnsi="宋体" w:cs="宋体"/>
          <w:sz w:val="24"/>
        </w:rPr>
      </w:pPr>
      <w:r>
        <w:rPr>
          <w:rFonts w:hint="eastAsia" w:ascii="宋体" w:hAnsi="宋体" w:cs="宋体"/>
          <w:sz w:val="24"/>
        </w:rPr>
        <w:t>一、投诉相关主体基本情况</w:t>
      </w:r>
    </w:p>
    <w:p w14:paraId="533DF8D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AD75E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0BB5D1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579B8B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CA0C35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93988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708E94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60FB36B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171D9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662C2E0">
      <w:pPr>
        <w:spacing w:line="360" w:lineRule="auto"/>
        <w:rPr>
          <w:rFonts w:ascii="宋体" w:hAnsi="宋体" w:cs="宋体"/>
          <w:sz w:val="24"/>
        </w:rPr>
      </w:pPr>
      <w:r>
        <w:rPr>
          <w:rFonts w:hint="eastAsia" w:ascii="宋体" w:hAnsi="宋体" w:cs="宋体"/>
          <w:sz w:val="24"/>
        </w:rPr>
        <w:t>被投诉人2</w:t>
      </w:r>
    </w:p>
    <w:p w14:paraId="5CC33A90">
      <w:pPr>
        <w:spacing w:line="360" w:lineRule="auto"/>
        <w:rPr>
          <w:rFonts w:ascii="宋体" w:hAnsi="宋体" w:cs="宋体"/>
          <w:sz w:val="24"/>
          <w:u w:val="dotted"/>
        </w:rPr>
      </w:pPr>
      <w:r>
        <w:rPr>
          <w:rFonts w:hint="eastAsia" w:ascii="宋体" w:hAnsi="宋体" w:cs="宋体"/>
          <w:sz w:val="24"/>
        </w:rPr>
        <w:t>……</w:t>
      </w:r>
    </w:p>
    <w:p w14:paraId="3C4A524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5AC2000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FFC61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54ABE2">
      <w:pPr>
        <w:spacing w:line="360" w:lineRule="auto"/>
        <w:rPr>
          <w:rFonts w:ascii="宋体" w:hAnsi="宋体" w:cs="宋体"/>
          <w:sz w:val="24"/>
        </w:rPr>
      </w:pPr>
      <w:r>
        <w:rPr>
          <w:rFonts w:hint="eastAsia" w:ascii="宋体" w:hAnsi="宋体" w:cs="宋体"/>
          <w:sz w:val="24"/>
        </w:rPr>
        <w:t>二、投诉项目基本情况</w:t>
      </w:r>
    </w:p>
    <w:p w14:paraId="67B55B0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473BD1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596E41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738082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9DBED3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1A23A4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13E71F2">
      <w:pPr>
        <w:spacing w:line="360" w:lineRule="auto"/>
        <w:rPr>
          <w:rFonts w:ascii="宋体" w:hAnsi="宋体" w:cs="宋体"/>
          <w:sz w:val="24"/>
        </w:rPr>
      </w:pPr>
      <w:r>
        <w:rPr>
          <w:rFonts w:hint="eastAsia" w:ascii="宋体" w:hAnsi="宋体" w:cs="宋体"/>
          <w:sz w:val="24"/>
        </w:rPr>
        <w:t>三、质疑基本情况</w:t>
      </w:r>
    </w:p>
    <w:p w14:paraId="4A9E954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13F18D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E7C66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92ACD01">
      <w:pPr>
        <w:spacing w:line="360" w:lineRule="auto"/>
        <w:rPr>
          <w:rFonts w:ascii="宋体" w:hAnsi="宋体" w:cs="宋体"/>
          <w:sz w:val="24"/>
        </w:rPr>
      </w:pPr>
      <w:r>
        <w:rPr>
          <w:rFonts w:hint="eastAsia" w:ascii="宋体" w:hAnsi="宋体" w:cs="宋体"/>
          <w:sz w:val="24"/>
        </w:rPr>
        <w:t>四、投诉事项具体内容</w:t>
      </w:r>
    </w:p>
    <w:p w14:paraId="0BA6E9E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35C19D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3B82F7">
      <w:pPr>
        <w:spacing w:line="360" w:lineRule="auto"/>
        <w:rPr>
          <w:rFonts w:ascii="宋体" w:hAnsi="宋体" w:cs="宋体"/>
          <w:sz w:val="24"/>
          <w:u w:val="dotted"/>
        </w:rPr>
      </w:pPr>
      <w:r>
        <w:rPr>
          <w:rFonts w:hint="eastAsia" w:ascii="宋体" w:hAnsi="宋体" w:cs="宋体"/>
          <w:sz w:val="24"/>
          <w:u w:val="dotted"/>
        </w:rPr>
        <w:t xml:space="preserve">                                                                        </w:t>
      </w:r>
    </w:p>
    <w:p w14:paraId="0492E50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C0DA0F2">
      <w:pPr>
        <w:spacing w:line="360" w:lineRule="auto"/>
        <w:rPr>
          <w:rFonts w:ascii="宋体" w:hAnsi="宋体" w:cs="宋体"/>
          <w:sz w:val="24"/>
          <w:u w:val="dotted"/>
        </w:rPr>
      </w:pPr>
      <w:r>
        <w:rPr>
          <w:rFonts w:hint="eastAsia" w:ascii="宋体" w:hAnsi="宋体" w:cs="宋体"/>
          <w:sz w:val="24"/>
          <w:u w:val="dotted"/>
        </w:rPr>
        <w:t xml:space="preserve">                                                                        </w:t>
      </w:r>
    </w:p>
    <w:p w14:paraId="08D2A8CE">
      <w:pPr>
        <w:spacing w:line="360" w:lineRule="auto"/>
        <w:rPr>
          <w:rFonts w:ascii="宋体" w:hAnsi="宋体" w:cs="宋体"/>
          <w:sz w:val="24"/>
        </w:rPr>
      </w:pPr>
      <w:r>
        <w:rPr>
          <w:rFonts w:hint="eastAsia" w:ascii="宋体" w:hAnsi="宋体" w:cs="宋体"/>
          <w:sz w:val="24"/>
        </w:rPr>
        <w:t>投诉事项2</w:t>
      </w:r>
    </w:p>
    <w:p w14:paraId="05FCD668">
      <w:pPr>
        <w:spacing w:line="360" w:lineRule="auto"/>
        <w:rPr>
          <w:rFonts w:ascii="宋体" w:hAnsi="宋体" w:cs="宋体"/>
          <w:sz w:val="24"/>
          <w:u w:val="dotted"/>
        </w:rPr>
      </w:pPr>
      <w:r>
        <w:rPr>
          <w:rFonts w:hint="eastAsia" w:ascii="宋体" w:hAnsi="宋体" w:cs="宋体"/>
          <w:sz w:val="24"/>
        </w:rPr>
        <w:t>……</w:t>
      </w:r>
    </w:p>
    <w:p w14:paraId="0EA24AC2">
      <w:pPr>
        <w:spacing w:line="360" w:lineRule="auto"/>
        <w:rPr>
          <w:rFonts w:ascii="宋体" w:hAnsi="宋体" w:cs="宋体"/>
          <w:sz w:val="24"/>
        </w:rPr>
      </w:pPr>
      <w:r>
        <w:rPr>
          <w:rFonts w:hint="eastAsia" w:ascii="宋体" w:hAnsi="宋体" w:cs="宋体"/>
          <w:sz w:val="24"/>
        </w:rPr>
        <w:t>五、与投诉事项相关的投诉请求</w:t>
      </w:r>
    </w:p>
    <w:p w14:paraId="46F6EBB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9DA236A">
      <w:pPr>
        <w:spacing w:line="360" w:lineRule="auto"/>
        <w:rPr>
          <w:rFonts w:ascii="宋体" w:hAnsi="宋体" w:cs="宋体"/>
          <w:sz w:val="24"/>
          <w:u w:val="single"/>
        </w:rPr>
      </w:pPr>
      <w:r>
        <w:rPr>
          <w:rFonts w:hint="eastAsia" w:ascii="宋体" w:hAnsi="宋体" w:cs="宋体"/>
          <w:sz w:val="24"/>
        </w:rPr>
        <w:t xml:space="preserve">                                                                                                    </w:t>
      </w:r>
    </w:p>
    <w:p w14:paraId="697C00FC">
      <w:pPr>
        <w:spacing w:line="360" w:lineRule="auto"/>
        <w:rPr>
          <w:rFonts w:ascii="宋体" w:hAnsi="宋体" w:cs="宋体"/>
          <w:sz w:val="24"/>
        </w:rPr>
      </w:pPr>
      <w:r>
        <w:rPr>
          <w:rFonts w:hint="eastAsia" w:ascii="宋体" w:hAnsi="宋体" w:cs="宋体"/>
          <w:sz w:val="24"/>
        </w:rPr>
        <w:t xml:space="preserve">签字(签章)：                   公章：                      </w:t>
      </w:r>
    </w:p>
    <w:p w14:paraId="70A87351">
      <w:pPr>
        <w:spacing w:line="360" w:lineRule="auto"/>
        <w:rPr>
          <w:rFonts w:ascii="宋体" w:hAnsi="宋体" w:cs="宋体"/>
          <w:sz w:val="24"/>
        </w:rPr>
      </w:pPr>
      <w:r>
        <w:rPr>
          <w:rFonts w:hint="eastAsia" w:ascii="宋体" w:hAnsi="宋体" w:cs="宋体"/>
          <w:sz w:val="24"/>
        </w:rPr>
        <w:t xml:space="preserve">日期：    </w:t>
      </w:r>
    </w:p>
    <w:p w14:paraId="594361A5">
      <w:pPr>
        <w:spacing w:line="360" w:lineRule="auto"/>
        <w:rPr>
          <w:rFonts w:ascii="宋体" w:hAnsi="宋体" w:cs="宋体"/>
          <w:b/>
          <w:sz w:val="24"/>
        </w:rPr>
      </w:pPr>
    </w:p>
    <w:p w14:paraId="245AB4D0">
      <w:pPr>
        <w:spacing w:line="360" w:lineRule="auto"/>
        <w:rPr>
          <w:rFonts w:ascii="宋体" w:hAnsi="宋体" w:cs="宋体"/>
          <w:b/>
          <w:sz w:val="24"/>
        </w:rPr>
      </w:pPr>
    </w:p>
    <w:p w14:paraId="648E37F5">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B6320CA">
      <w:pPr>
        <w:spacing w:line="360" w:lineRule="auto"/>
        <w:rPr>
          <w:rFonts w:ascii="宋体" w:hAnsi="宋体" w:cs="宋体"/>
          <w:b/>
          <w:sz w:val="24"/>
        </w:rPr>
      </w:pPr>
      <w:r>
        <w:rPr>
          <w:rFonts w:hint="eastAsia" w:ascii="宋体" w:hAnsi="宋体" w:cs="宋体"/>
          <w:b/>
          <w:sz w:val="24"/>
        </w:rPr>
        <w:t>投诉书制作说明：</w:t>
      </w:r>
    </w:p>
    <w:p w14:paraId="00EEB3A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644607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541829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A2770A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37B891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1EDC16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1D73B8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3CB1CD9">
      <w:pPr>
        <w:spacing w:line="360" w:lineRule="auto"/>
        <w:rPr>
          <w:rFonts w:ascii="宋体" w:hAnsi="宋体" w:cs="宋体"/>
          <w:b/>
          <w:sz w:val="24"/>
        </w:rPr>
      </w:pPr>
    </w:p>
    <w:p w14:paraId="0A6E1DE3">
      <w:pPr>
        <w:autoSpaceDE w:val="0"/>
        <w:autoSpaceDN w:val="0"/>
        <w:jc w:val="center"/>
        <w:rPr>
          <w:rFonts w:ascii="宋体" w:hAnsi="宋体" w:cs="宋体"/>
          <w:b/>
          <w:spacing w:val="6"/>
          <w:sz w:val="32"/>
          <w:szCs w:val="32"/>
        </w:rPr>
      </w:pPr>
    </w:p>
    <w:p w14:paraId="6FB7AAF8">
      <w:pPr>
        <w:autoSpaceDE w:val="0"/>
        <w:autoSpaceDN w:val="0"/>
        <w:jc w:val="center"/>
        <w:rPr>
          <w:rFonts w:ascii="宋体" w:hAnsi="宋体" w:cs="宋体"/>
          <w:b/>
          <w:spacing w:val="6"/>
          <w:sz w:val="32"/>
          <w:szCs w:val="32"/>
        </w:rPr>
      </w:pPr>
    </w:p>
    <w:p w14:paraId="524DE4B5">
      <w:pPr>
        <w:pStyle w:val="4"/>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B8CA530">
      <w:pPr>
        <w:pStyle w:val="5"/>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14:paraId="743D0613">
      <w:pPr>
        <w:spacing w:line="360" w:lineRule="auto"/>
        <w:rPr>
          <w:rFonts w:ascii="宋体" w:hAnsi="宋体" w:cs="宋体"/>
          <w:sz w:val="24"/>
        </w:rPr>
      </w:pPr>
      <w:r>
        <w:rPr>
          <w:rFonts w:hint="eastAsia" w:ascii="宋体" w:hAnsi="宋体" w:cs="宋体"/>
          <w:sz w:val="24"/>
          <w:u w:val="single"/>
        </w:rPr>
        <w:t>（采购人）、（采购代理机构）</w:t>
      </w:r>
    </w:p>
    <w:p w14:paraId="1712C86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629000E">
      <w:pPr>
        <w:spacing w:line="360" w:lineRule="auto"/>
        <w:ind w:firstLine="480" w:firstLineChars="200"/>
        <w:rPr>
          <w:rFonts w:ascii="宋体" w:hAnsi="宋体" w:cs="宋体"/>
          <w:sz w:val="24"/>
        </w:rPr>
      </w:pPr>
      <w:r>
        <w:rPr>
          <w:rFonts w:hint="eastAsia" w:ascii="宋体" w:hAnsi="宋体" w:cs="宋体"/>
          <w:sz w:val="24"/>
        </w:rPr>
        <w:t>特此说明。</w:t>
      </w:r>
    </w:p>
    <w:p w14:paraId="2CFDDD4E">
      <w:pPr>
        <w:spacing w:line="360" w:lineRule="auto"/>
        <w:ind w:firstLine="494"/>
        <w:rPr>
          <w:rFonts w:ascii="宋体" w:hAnsi="宋体" w:cs="宋体"/>
          <w:sz w:val="24"/>
        </w:rPr>
      </w:pPr>
    </w:p>
    <w:p w14:paraId="551F54AE">
      <w:pPr>
        <w:spacing w:line="360" w:lineRule="auto"/>
        <w:ind w:firstLine="494"/>
        <w:rPr>
          <w:rFonts w:ascii="宋体" w:hAnsi="宋体" w:cs="宋体"/>
          <w:sz w:val="24"/>
        </w:rPr>
      </w:pPr>
    </w:p>
    <w:p w14:paraId="428DECB8">
      <w:pPr>
        <w:spacing w:line="360" w:lineRule="auto"/>
        <w:ind w:firstLine="494"/>
        <w:rPr>
          <w:rFonts w:ascii="宋体" w:hAnsi="宋体" w:cs="宋体"/>
          <w:sz w:val="24"/>
        </w:rPr>
      </w:pPr>
    </w:p>
    <w:p w14:paraId="0FFF1193">
      <w:pPr>
        <w:spacing w:line="360" w:lineRule="auto"/>
        <w:ind w:firstLine="494"/>
        <w:rPr>
          <w:rFonts w:ascii="宋体" w:hAnsi="宋体" w:cs="宋体"/>
          <w:sz w:val="24"/>
        </w:rPr>
      </w:pPr>
    </w:p>
    <w:p w14:paraId="4EA543E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7E601CA">
      <w:pPr>
        <w:ind w:right="1440" w:firstLine="494"/>
        <w:jc w:val="center"/>
        <w:rPr>
          <w:rFonts w:ascii="宋体" w:hAnsi="宋体" w:cs="宋体"/>
          <w:sz w:val="24"/>
        </w:rPr>
      </w:pPr>
      <w:r>
        <w:rPr>
          <w:rFonts w:hint="eastAsia" w:ascii="宋体" w:hAnsi="宋体" w:cs="宋体"/>
          <w:sz w:val="24"/>
        </w:rPr>
        <w:t xml:space="preserve">                         日期：  年   月 日</w:t>
      </w:r>
    </w:p>
    <w:p w14:paraId="7A1B459A">
      <w:pPr>
        <w:rPr>
          <w:rFonts w:ascii="宋体" w:hAnsi="宋体" w:cs="宋体"/>
          <w:sz w:val="24"/>
        </w:rPr>
      </w:pPr>
      <w:r>
        <w:rPr>
          <w:rFonts w:hint="eastAsia" w:ascii="宋体" w:hAnsi="宋体" w:cs="宋体"/>
          <w:b/>
          <w:bCs/>
          <w:sz w:val="24"/>
        </w:rPr>
        <w:t>附：</w:t>
      </w:r>
    </w:p>
    <w:p w14:paraId="31A78CC6">
      <w:pPr>
        <w:spacing w:line="360" w:lineRule="auto"/>
        <w:ind w:firstLine="0" w:firstLineChars="0"/>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F54924A">
      <w:pPr>
        <w:autoSpaceDE w:val="0"/>
        <w:autoSpaceDN w:val="0"/>
        <w:jc w:val="center"/>
        <w:rPr>
          <w:rFonts w:ascii="宋体" w:hAnsi="宋体" w:cs="宋体"/>
          <w:b/>
          <w:spacing w:val="6"/>
          <w:sz w:val="32"/>
          <w:szCs w:val="32"/>
        </w:rPr>
      </w:pPr>
    </w:p>
    <w:p w14:paraId="1457B598">
      <w:pPr>
        <w:autoSpaceDE w:val="0"/>
        <w:autoSpaceDN w:val="0"/>
        <w:jc w:val="center"/>
        <w:rPr>
          <w:rFonts w:ascii="宋体" w:hAnsi="宋体" w:cs="宋体"/>
          <w:b/>
          <w:spacing w:val="6"/>
          <w:sz w:val="32"/>
          <w:szCs w:val="32"/>
        </w:rPr>
      </w:pPr>
    </w:p>
    <w:p w14:paraId="08E9452E">
      <w:pPr>
        <w:autoSpaceDE w:val="0"/>
        <w:autoSpaceDN w:val="0"/>
        <w:jc w:val="center"/>
        <w:rPr>
          <w:rFonts w:ascii="宋体" w:hAnsi="宋体" w:cs="宋体"/>
          <w:b/>
          <w:spacing w:val="6"/>
          <w:sz w:val="32"/>
          <w:szCs w:val="32"/>
        </w:rPr>
      </w:pPr>
    </w:p>
    <w:p w14:paraId="3A2EA457">
      <w:pPr>
        <w:autoSpaceDE w:val="0"/>
        <w:autoSpaceDN w:val="0"/>
        <w:jc w:val="center"/>
        <w:rPr>
          <w:rFonts w:ascii="宋体" w:hAnsi="宋体" w:cs="宋体"/>
          <w:b/>
          <w:spacing w:val="6"/>
          <w:sz w:val="32"/>
          <w:szCs w:val="32"/>
        </w:rPr>
      </w:pPr>
    </w:p>
    <w:p w14:paraId="7F57E383">
      <w:pPr>
        <w:autoSpaceDE w:val="0"/>
        <w:autoSpaceDN w:val="0"/>
        <w:jc w:val="center"/>
        <w:rPr>
          <w:rFonts w:ascii="宋体" w:hAnsi="宋体" w:cs="宋体"/>
          <w:b/>
          <w:spacing w:val="6"/>
          <w:sz w:val="32"/>
          <w:szCs w:val="32"/>
        </w:rPr>
      </w:pPr>
    </w:p>
    <w:p w14:paraId="520A4D86">
      <w:pPr>
        <w:autoSpaceDE w:val="0"/>
        <w:autoSpaceDN w:val="0"/>
        <w:jc w:val="center"/>
        <w:rPr>
          <w:rFonts w:ascii="宋体" w:hAnsi="宋体" w:cs="宋体"/>
          <w:b/>
          <w:spacing w:val="6"/>
          <w:sz w:val="32"/>
          <w:szCs w:val="32"/>
        </w:rPr>
      </w:pPr>
    </w:p>
    <w:p w14:paraId="4C44AA0C">
      <w:pPr>
        <w:autoSpaceDE w:val="0"/>
        <w:autoSpaceDN w:val="0"/>
        <w:jc w:val="center"/>
        <w:rPr>
          <w:rFonts w:ascii="宋体" w:hAnsi="宋体" w:cs="宋体"/>
          <w:b/>
          <w:spacing w:val="6"/>
          <w:sz w:val="32"/>
          <w:szCs w:val="32"/>
        </w:rPr>
      </w:pPr>
    </w:p>
    <w:p w14:paraId="44A52938">
      <w:pPr>
        <w:autoSpaceDE w:val="0"/>
        <w:autoSpaceDN w:val="0"/>
        <w:jc w:val="center"/>
        <w:rPr>
          <w:rFonts w:ascii="宋体" w:hAnsi="宋体" w:cs="宋体"/>
          <w:b/>
          <w:spacing w:val="6"/>
          <w:sz w:val="32"/>
          <w:szCs w:val="32"/>
        </w:rPr>
      </w:pPr>
    </w:p>
    <w:p w14:paraId="7DC9ABDE">
      <w:pPr>
        <w:autoSpaceDE w:val="0"/>
        <w:autoSpaceDN w:val="0"/>
        <w:jc w:val="center"/>
        <w:rPr>
          <w:rFonts w:ascii="宋体" w:hAnsi="宋体" w:cs="宋体"/>
          <w:b/>
          <w:spacing w:val="6"/>
          <w:sz w:val="32"/>
          <w:szCs w:val="32"/>
        </w:rPr>
      </w:pPr>
    </w:p>
    <w:p w14:paraId="09B16039">
      <w:pPr>
        <w:autoSpaceDE w:val="0"/>
        <w:autoSpaceDN w:val="0"/>
        <w:jc w:val="center"/>
        <w:rPr>
          <w:rFonts w:ascii="宋体" w:hAnsi="宋体" w:cs="宋体"/>
          <w:b/>
          <w:spacing w:val="6"/>
          <w:sz w:val="32"/>
          <w:szCs w:val="32"/>
        </w:rPr>
      </w:pPr>
    </w:p>
    <w:p w14:paraId="1670D1DA">
      <w:pPr>
        <w:pStyle w:val="5"/>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14:paraId="0A2BE0F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F50A7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38753E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4E3F874">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14:paraId="10C76C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0831F7A">
      <w:pPr>
        <w:snapToGrid w:val="0"/>
        <w:spacing w:line="360" w:lineRule="auto"/>
        <w:ind w:firstLine="576"/>
        <w:rPr>
          <w:rFonts w:ascii="宋体" w:hAnsi="宋体" w:cs="宋体"/>
          <w:kern w:val="0"/>
          <w:sz w:val="24"/>
          <w:lang w:val="zh-CN"/>
        </w:rPr>
      </w:pPr>
      <w:bookmarkStart w:id="48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DAE02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0B6D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83"/>
    <w:p w14:paraId="687208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5665DC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C16B5D2">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33CA6B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32DBC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84060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ABFD9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B1E70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FA29D06">
      <w:pPr>
        <w:snapToGrid w:val="0"/>
        <w:spacing w:line="360" w:lineRule="auto"/>
        <w:rPr>
          <w:rFonts w:hint="eastAsia" w:ascii="宋体" w:hAnsi="宋体" w:cs="宋体"/>
          <w:kern w:val="0"/>
          <w:sz w:val="24"/>
          <w:lang w:val="zh-CN"/>
        </w:rPr>
      </w:pPr>
    </w:p>
    <w:p w14:paraId="3002A817">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73901E61">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00F494C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189457D">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7DD396AF">
      <w:pPr>
        <w:spacing w:line="360" w:lineRule="auto"/>
        <w:ind w:right="420"/>
        <w:rPr>
          <w:rFonts w:ascii="宋体" w:hAnsi="宋体" w:cs="宋体"/>
          <w:sz w:val="24"/>
        </w:rPr>
      </w:pPr>
      <w:r>
        <w:rPr>
          <w:rFonts w:hint="eastAsia" w:ascii="宋体" w:hAnsi="宋体" w:cs="宋体"/>
          <w:sz w:val="24"/>
        </w:rPr>
        <w:t>注：按本格式和要求提供。</w:t>
      </w:r>
    </w:p>
    <w:p w14:paraId="4BFD430F">
      <w:pPr>
        <w:autoSpaceDE w:val="0"/>
        <w:autoSpaceDN w:val="0"/>
        <w:jc w:val="center"/>
        <w:rPr>
          <w:rFonts w:ascii="宋体" w:hAnsi="宋体" w:cs="宋体"/>
          <w:b/>
          <w:spacing w:val="6"/>
          <w:sz w:val="32"/>
          <w:szCs w:val="32"/>
        </w:rPr>
      </w:pPr>
    </w:p>
    <w:p w14:paraId="04833EDF">
      <w:pPr>
        <w:autoSpaceDE w:val="0"/>
        <w:autoSpaceDN w:val="0"/>
        <w:jc w:val="center"/>
        <w:rPr>
          <w:rFonts w:ascii="宋体" w:hAnsi="宋体" w:cs="宋体"/>
          <w:b/>
          <w:spacing w:val="6"/>
          <w:sz w:val="32"/>
          <w:szCs w:val="32"/>
        </w:rPr>
      </w:pPr>
    </w:p>
    <w:p w14:paraId="21752AB7">
      <w:pPr>
        <w:autoSpaceDE w:val="0"/>
        <w:autoSpaceDN w:val="0"/>
        <w:jc w:val="center"/>
        <w:rPr>
          <w:rFonts w:ascii="宋体" w:hAnsi="宋体" w:cs="宋体"/>
          <w:b/>
          <w:spacing w:val="6"/>
          <w:sz w:val="32"/>
          <w:szCs w:val="32"/>
        </w:rPr>
      </w:pPr>
    </w:p>
    <w:p w14:paraId="50EDA6E7">
      <w:pPr>
        <w:autoSpaceDE w:val="0"/>
        <w:autoSpaceDN w:val="0"/>
        <w:jc w:val="center"/>
        <w:rPr>
          <w:rFonts w:ascii="宋体" w:hAnsi="宋体" w:cs="宋体"/>
          <w:b/>
          <w:spacing w:val="6"/>
          <w:sz w:val="32"/>
          <w:szCs w:val="32"/>
        </w:rPr>
      </w:pPr>
    </w:p>
    <w:p w14:paraId="4368A4A1">
      <w:pPr>
        <w:autoSpaceDE w:val="0"/>
        <w:autoSpaceDN w:val="0"/>
        <w:jc w:val="center"/>
        <w:rPr>
          <w:rFonts w:ascii="宋体" w:hAnsi="宋体" w:cs="宋体"/>
          <w:b/>
          <w:spacing w:val="6"/>
          <w:sz w:val="32"/>
          <w:szCs w:val="32"/>
        </w:rPr>
      </w:pPr>
    </w:p>
    <w:p w14:paraId="3B6AA8AA">
      <w:pPr>
        <w:autoSpaceDE w:val="0"/>
        <w:autoSpaceDN w:val="0"/>
        <w:jc w:val="center"/>
        <w:rPr>
          <w:rFonts w:ascii="宋体" w:hAnsi="宋体" w:cs="宋体"/>
          <w:b/>
          <w:spacing w:val="6"/>
          <w:sz w:val="32"/>
          <w:szCs w:val="32"/>
        </w:rPr>
      </w:pPr>
    </w:p>
    <w:p w14:paraId="0E7CBD8D">
      <w:pPr>
        <w:autoSpaceDE w:val="0"/>
        <w:autoSpaceDN w:val="0"/>
        <w:jc w:val="center"/>
        <w:rPr>
          <w:rFonts w:ascii="宋体" w:hAnsi="宋体" w:cs="宋体"/>
          <w:b/>
          <w:spacing w:val="6"/>
          <w:sz w:val="32"/>
          <w:szCs w:val="32"/>
        </w:rPr>
      </w:pPr>
    </w:p>
    <w:p w14:paraId="3A87F8BB">
      <w:pPr>
        <w:autoSpaceDE w:val="0"/>
        <w:autoSpaceDN w:val="0"/>
        <w:jc w:val="center"/>
        <w:rPr>
          <w:rFonts w:ascii="宋体" w:hAnsi="宋体" w:cs="宋体"/>
          <w:b/>
          <w:spacing w:val="6"/>
          <w:sz w:val="32"/>
          <w:szCs w:val="32"/>
        </w:rPr>
      </w:pPr>
    </w:p>
    <w:p w14:paraId="12134AF2">
      <w:pPr>
        <w:autoSpaceDE w:val="0"/>
        <w:autoSpaceDN w:val="0"/>
        <w:jc w:val="center"/>
        <w:rPr>
          <w:rFonts w:ascii="宋体" w:hAnsi="宋体" w:cs="宋体"/>
          <w:b/>
          <w:spacing w:val="6"/>
          <w:sz w:val="32"/>
          <w:szCs w:val="32"/>
        </w:rPr>
      </w:pPr>
    </w:p>
    <w:p w14:paraId="4509B154">
      <w:pPr>
        <w:autoSpaceDE w:val="0"/>
        <w:autoSpaceDN w:val="0"/>
        <w:jc w:val="center"/>
        <w:rPr>
          <w:rFonts w:ascii="宋体" w:hAnsi="宋体" w:cs="宋体"/>
          <w:b/>
          <w:spacing w:val="6"/>
          <w:sz w:val="32"/>
          <w:szCs w:val="32"/>
        </w:rPr>
      </w:pPr>
    </w:p>
    <w:p w14:paraId="6707B4AC">
      <w:pPr>
        <w:autoSpaceDE w:val="0"/>
        <w:autoSpaceDN w:val="0"/>
        <w:jc w:val="center"/>
        <w:rPr>
          <w:rFonts w:ascii="宋体" w:hAnsi="宋体" w:cs="宋体"/>
          <w:b/>
          <w:spacing w:val="6"/>
          <w:sz w:val="32"/>
          <w:szCs w:val="32"/>
        </w:rPr>
      </w:pPr>
    </w:p>
    <w:p w14:paraId="52BDBAE8">
      <w:pPr>
        <w:autoSpaceDE w:val="0"/>
        <w:autoSpaceDN w:val="0"/>
        <w:jc w:val="center"/>
        <w:rPr>
          <w:rFonts w:ascii="宋体" w:hAnsi="宋体" w:cs="宋体"/>
          <w:b/>
          <w:spacing w:val="6"/>
          <w:sz w:val="32"/>
          <w:szCs w:val="32"/>
        </w:rPr>
      </w:pPr>
    </w:p>
    <w:p w14:paraId="5B77C926">
      <w:pPr>
        <w:autoSpaceDE w:val="0"/>
        <w:autoSpaceDN w:val="0"/>
        <w:jc w:val="center"/>
        <w:rPr>
          <w:rFonts w:ascii="宋体" w:hAnsi="宋体" w:cs="宋体"/>
          <w:b/>
          <w:spacing w:val="6"/>
          <w:sz w:val="32"/>
          <w:szCs w:val="32"/>
        </w:rPr>
      </w:pPr>
    </w:p>
    <w:p w14:paraId="4802B9D2">
      <w:pPr>
        <w:autoSpaceDE w:val="0"/>
        <w:autoSpaceDN w:val="0"/>
        <w:jc w:val="center"/>
        <w:rPr>
          <w:rFonts w:ascii="宋体" w:hAnsi="宋体" w:cs="宋体"/>
          <w:b/>
          <w:spacing w:val="6"/>
          <w:sz w:val="32"/>
          <w:szCs w:val="32"/>
        </w:rPr>
      </w:pPr>
    </w:p>
    <w:p w14:paraId="031A1836">
      <w:pPr>
        <w:autoSpaceDE w:val="0"/>
        <w:autoSpaceDN w:val="0"/>
        <w:jc w:val="center"/>
        <w:rPr>
          <w:rFonts w:ascii="宋体" w:hAnsi="宋体" w:cs="宋体"/>
          <w:b/>
          <w:spacing w:val="6"/>
          <w:sz w:val="32"/>
          <w:szCs w:val="32"/>
        </w:rPr>
      </w:pPr>
    </w:p>
    <w:p w14:paraId="4AFF3E18">
      <w:pPr>
        <w:autoSpaceDE w:val="0"/>
        <w:autoSpaceDN w:val="0"/>
        <w:jc w:val="center"/>
        <w:rPr>
          <w:rFonts w:ascii="宋体" w:hAnsi="宋体" w:cs="宋体"/>
          <w:b/>
          <w:spacing w:val="6"/>
          <w:sz w:val="32"/>
          <w:szCs w:val="32"/>
        </w:rPr>
      </w:pPr>
    </w:p>
    <w:p w14:paraId="3C8DBC4B">
      <w:pPr>
        <w:autoSpaceDE w:val="0"/>
        <w:autoSpaceDN w:val="0"/>
        <w:jc w:val="both"/>
        <w:rPr>
          <w:rFonts w:ascii="宋体" w:hAnsi="宋体" w:cs="宋体"/>
          <w:b/>
          <w:spacing w:val="6"/>
          <w:sz w:val="32"/>
          <w:szCs w:val="32"/>
        </w:rPr>
      </w:pPr>
    </w:p>
    <w:p w14:paraId="31E5D282">
      <w:pPr>
        <w:pStyle w:val="4"/>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ACFEED2">
      <w:pPr>
        <w:pStyle w:val="5"/>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14:paraId="0B55D236">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02A62E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9678842">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9810CA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7AB462C">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14:paraId="55000C31">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79FCF2F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03DCA095">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1E4976C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6E75F3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3806C8B8">
      <w:pPr>
        <w:keepNext w:val="0"/>
        <w:keepLines w:val="0"/>
        <w:pageBreakBefore w:val="0"/>
        <w:widowControl w:val="0"/>
        <w:kinsoku/>
        <w:wordWrap/>
        <w:overflowPunct/>
        <w:topLinePunct w:val="0"/>
        <w:autoSpaceDE/>
        <w:autoSpaceDN/>
        <w:bidi w:val="0"/>
        <w:snapToGrid w:val="0"/>
        <w:spacing w:line="420" w:lineRule="atLeast"/>
        <w:ind w:left="0" w:leftChars="0" w:firstLine="0" w:firstLineChars="0"/>
        <w:textAlignment w:val="auto"/>
        <w:rPr>
          <w:rFonts w:ascii="宋体" w:hAnsi="宋体" w:cs="宋体"/>
          <w:kern w:val="0"/>
          <w:sz w:val="24"/>
          <w:lang w:val="zh-CN"/>
        </w:rPr>
      </w:pP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p>
    <w:p w14:paraId="3BE8D717">
      <w:pPr>
        <w:keepNext w:val="0"/>
        <w:keepLines w:val="0"/>
        <w:pageBreakBefore w:val="0"/>
        <w:widowControl w:val="0"/>
        <w:kinsoku/>
        <w:wordWrap/>
        <w:overflowPunct/>
        <w:topLinePunct w:val="0"/>
        <w:autoSpaceDE/>
        <w:autoSpaceDN/>
        <w:bidi w:val="0"/>
        <w:snapToGrid w:val="0"/>
        <w:spacing w:line="420" w:lineRule="atLeast"/>
        <w:ind w:left="0" w:leftChars="0" w:firstLine="480" w:firstLineChars="200"/>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701787E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25EDE8B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61E57E8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6C95D300">
      <w:pPr>
        <w:keepNext w:val="0"/>
        <w:keepLines w:val="0"/>
        <w:pageBreakBefore w:val="0"/>
        <w:widowControl w:val="0"/>
        <w:numPr>
          <w:ilvl w:val="0"/>
          <w:numId w:val="5"/>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079BB685">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39D7FF08">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25CAEE59">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14:paraId="7852D187">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429D6CC1">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14:paraId="536B2EE5">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3E164C13">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14:paraId="0AEA3709">
      <w:pPr>
        <w:pStyle w:val="5"/>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14:paraId="2F1457EF">
      <w:pPr>
        <w:spacing w:line="360" w:lineRule="auto"/>
        <w:jc w:val="center"/>
        <w:rPr>
          <w:rFonts w:ascii="宋体" w:hAnsi="宋体" w:cs="宋体"/>
          <w:sz w:val="24"/>
          <w:u w:val="single"/>
        </w:rPr>
      </w:pPr>
    </w:p>
    <w:p w14:paraId="5A4A697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554787A">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5541891A">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A7272DE">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C4836DC">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374A7D6">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87D17A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8949853">
      <w:pPr>
        <w:bidi w:val="0"/>
      </w:pPr>
    </w:p>
    <w:p w14:paraId="0062464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0009D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AA13106">
      <w:pPr>
        <w:spacing w:line="360" w:lineRule="auto"/>
        <w:ind w:right="420" w:firstLine="480" w:firstLineChars="200"/>
        <w:rPr>
          <w:rFonts w:ascii="宋体" w:hAnsi="宋体" w:cs="宋体"/>
          <w:sz w:val="24"/>
        </w:rPr>
      </w:pPr>
      <w:r>
        <w:rPr>
          <w:rFonts w:hint="eastAsia" w:ascii="宋体" w:hAnsi="宋体" w:cs="宋体"/>
          <w:sz w:val="24"/>
        </w:rPr>
        <w:t>注：</w:t>
      </w:r>
    </w:p>
    <w:p w14:paraId="3243A446">
      <w:pPr>
        <w:numPr>
          <w:ilvl w:val="0"/>
          <w:numId w:val="6"/>
        </w:num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sz w:val="24"/>
        </w:rPr>
        <w:t>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w:t>
      </w: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中小企业应当按照《政府采购促进中小企业发展管理办法》规定和《中小企业划型标准规定》（工信部联企业〔2011〕300号），如实填写并提交《中小企业声明函》。未按要求出具声明函的，声明函</w:t>
      </w:r>
      <w:r>
        <w:rPr>
          <w:rFonts w:hint="eastAsia" w:ascii="宋体" w:hAnsi="宋体" w:eastAsia="宋体" w:cs="宋体"/>
          <w:color w:val="auto"/>
          <w:sz w:val="24"/>
          <w:highlight w:val="none"/>
          <w:lang w:val="en-US" w:eastAsia="zh-CN"/>
        </w:rPr>
        <w:t>将</w:t>
      </w:r>
      <w:r>
        <w:rPr>
          <w:rFonts w:hint="eastAsia" w:ascii="宋体" w:hAnsi="宋体" w:eastAsia="宋体" w:cs="宋体"/>
          <w:color w:val="auto"/>
          <w:sz w:val="24"/>
          <w:highlight w:val="none"/>
        </w:rPr>
        <w:t>不予</w:t>
      </w:r>
      <w:r>
        <w:rPr>
          <w:rFonts w:hint="eastAsia" w:ascii="宋体" w:hAnsi="宋体" w:eastAsia="宋体" w:cs="宋体"/>
          <w:color w:val="auto"/>
          <w:sz w:val="24"/>
          <w:highlight w:val="none"/>
          <w:lang w:val="en-US" w:eastAsia="zh-CN"/>
        </w:rPr>
        <w:t>认可</w:t>
      </w:r>
      <w:r>
        <w:rPr>
          <w:rFonts w:hint="eastAsia" w:ascii="宋体" w:hAnsi="宋体" w:eastAsia="宋体" w:cs="宋体"/>
          <w:color w:val="auto"/>
          <w:sz w:val="24"/>
          <w:highlight w:val="none"/>
        </w:rPr>
        <w:t>。</w:t>
      </w:r>
      <w:r>
        <w:rPr>
          <w:rFonts w:hint="eastAsia" w:ascii="宋体" w:hAnsi="宋体" w:cs="宋体"/>
          <w:color w:val="auto"/>
          <w:sz w:val="24"/>
          <w:highlight w:val="none"/>
        </w:rPr>
        <w:t>④</w:t>
      </w: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55685CC0">
      <w:pPr>
        <w:spacing w:line="360" w:lineRule="auto"/>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w:t>
      </w:r>
      <w:r>
        <w:rPr>
          <w:rFonts w:hint="eastAsia" w:ascii="宋体" w:hAnsi="宋体" w:cs="宋体"/>
          <w:lang w:val="en-US" w:eastAsia="zh-CN"/>
        </w:rPr>
        <w:t>1</w:t>
      </w:r>
      <w:r>
        <w:rPr>
          <w:rFonts w:hint="eastAsia" w:ascii="宋体" w:hAnsi="宋体" w:cs="宋体"/>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F44D7F8">
      <w:pPr>
        <w:spacing w:line="360" w:lineRule="auto"/>
        <w:jc w:val="center"/>
        <w:rPr>
          <w:rFonts w:ascii="宋体" w:hAnsi="宋体" w:cs="宋体"/>
          <w:b/>
          <w:sz w:val="32"/>
          <w:szCs w:val="32"/>
        </w:rPr>
      </w:pPr>
    </w:p>
    <w:p w14:paraId="0054C0E7">
      <w:pPr>
        <w:spacing w:line="360" w:lineRule="auto"/>
        <w:jc w:val="center"/>
        <w:rPr>
          <w:rFonts w:ascii="宋体" w:hAnsi="宋体" w:cs="宋体"/>
          <w:b/>
          <w:sz w:val="32"/>
          <w:szCs w:val="32"/>
        </w:rPr>
      </w:pPr>
    </w:p>
    <w:p w14:paraId="7DACB73D">
      <w:pPr>
        <w:spacing w:line="360" w:lineRule="auto"/>
        <w:jc w:val="center"/>
        <w:rPr>
          <w:rFonts w:ascii="宋体" w:hAnsi="宋体" w:cs="宋体"/>
          <w:b/>
          <w:sz w:val="32"/>
          <w:szCs w:val="32"/>
        </w:rPr>
      </w:pPr>
    </w:p>
    <w:p w14:paraId="1DBCE617">
      <w:pPr>
        <w:spacing w:line="360" w:lineRule="auto"/>
        <w:jc w:val="center"/>
        <w:rPr>
          <w:rFonts w:ascii="宋体" w:hAnsi="宋体" w:cs="宋体"/>
          <w:b/>
          <w:sz w:val="32"/>
          <w:szCs w:val="32"/>
        </w:rPr>
      </w:pPr>
    </w:p>
    <w:p w14:paraId="17062FDB">
      <w:pPr>
        <w:spacing w:line="360" w:lineRule="auto"/>
        <w:jc w:val="center"/>
        <w:rPr>
          <w:rFonts w:ascii="宋体" w:hAnsi="宋体" w:cs="宋体"/>
          <w:b/>
          <w:sz w:val="32"/>
          <w:szCs w:val="32"/>
        </w:rPr>
      </w:pPr>
    </w:p>
    <w:p w14:paraId="1692BBE8">
      <w:pPr>
        <w:spacing w:line="360" w:lineRule="auto"/>
        <w:jc w:val="center"/>
        <w:rPr>
          <w:rFonts w:ascii="宋体" w:hAnsi="宋体" w:cs="宋体"/>
          <w:b/>
          <w:sz w:val="32"/>
          <w:szCs w:val="32"/>
        </w:rPr>
      </w:pPr>
    </w:p>
    <w:p w14:paraId="2005903C">
      <w:pPr>
        <w:spacing w:line="360" w:lineRule="auto"/>
        <w:jc w:val="center"/>
        <w:rPr>
          <w:rFonts w:ascii="宋体" w:hAnsi="宋体" w:cs="宋体"/>
          <w:b/>
          <w:sz w:val="32"/>
          <w:szCs w:val="32"/>
        </w:rPr>
      </w:pPr>
    </w:p>
    <w:p w14:paraId="7A466E55">
      <w:pPr>
        <w:spacing w:line="360" w:lineRule="auto"/>
        <w:jc w:val="center"/>
        <w:rPr>
          <w:rFonts w:ascii="宋体" w:hAnsi="宋体" w:cs="宋体"/>
          <w:b/>
          <w:sz w:val="32"/>
          <w:szCs w:val="32"/>
        </w:rPr>
      </w:pPr>
    </w:p>
    <w:p w14:paraId="6D700A4E">
      <w:pPr>
        <w:spacing w:line="360" w:lineRule="auto"/>
        <w:jc w:val="center"/>
        <w:rPr>
          <w:rFonts w:ascii="宋体" w:hAnsi="宋体" w:cs="宋体"/>
          <w:b/>
          <w:sz w:val="32"/>
          <w:szCs w:val="32"/>
        </w:rPr>
      </w:pPr>
    </w:p>
    <w:p w14:paraId="7DBBF9CA">
      <w:pPr>
        <w:spacing w:line="360" w:lineRule="auto"/>
        <w:jc w:val="center"/>
        <w:rPr>
          <w:rFonts w:ascii="宋体" w:hAnsi="宋体" w:cs="宋体"/>
          <w:b/>
          <w:sz w:val="32"/>
          <w:szCs w:val="32"/>
        </w:rPr>
      </w:pPr>
    </w:p>
    <w:p w14:paraId="7151644B">
      <w:pPr>
        <w:spacing w:line="360" w:lineRule="auto"/>
        <w:jc w:val="center"/>
        <w:rPr>
          <w:rFonts w:ascii="宋体" w:hAnsi="宋体" w:cs="宋体"/>
          <w:b/>
          <w:sz w:val="32"/>
          <w:szCs w:val="32"/>
        </w:rPr>
      </w:pPr>
    </w:p>
    <w:p w14:paraId="578E311A">
      <w:pPr>
        <w:spacing w:line="360" w:lineRule="auto"/>
        <w:ind w:right="420"/>
        <w:rPr>
          <w:rFonts w:ascii="宋体" w:hAnsi="宋体" w:cs="宋体"/>
        </w:rPr>
      </w:pPr>
    </w:p>
    <w:p w14:paraId="46C0A5B6">
      <w:pPr>
        <w:spacing w:line="360" w:lineRule="auto"/>
        <w:rPr>
          <w:rFonts w:ascii="宋体" w:hAnsi="宋体" w:cs="宋体"/>
          <w:bCs/>
          <w:sz w:val="24"/>
        </w:rPr>
      </w:pPr>
    </w:p>
    <w:p w14:paraId="3D5438D3"/>
    <w:p w14:paraId="15F2BA9E"/>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6B52">
    <w:pPr>
      <w:pStyle w:val="39"/>
      <w:framePr w:wrap="around" w:vAnchor="text" w:hAnchor="margin" w:xAlign="right" w:y="1"/>
      <w:rPr>
        <w:rStyle w:val="72"/>
      </w:rPr>
    </w:pPr>
    <w:r>
      <w:fldChar w:fldCharType="begin"/>
    </w:r>
    <w:r>
      <w:rPr>
        <w:rStyle w:val="72"/>
      </w:rPr>
      <w:instrText xml:space="preserve">PAGE  </w:instrText>
    </w:r>
    <w:r>
      <w:fldChar w:fldCharType="end"/>
    </w:r>
  </w:p>
  <w:p w14:paraId="0D130C79">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2D34">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F2B6A">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DF2B6A">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454C951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912">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26B1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626B1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8B3720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7360">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E8F15">
                          <w:pPr>
                            <w:pStyle w:val="39"/>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46E8F15">
                    <w:pPr>
                      <w:pStyle w:val="39"/>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6EF0">
    <w:pPr>
      <w:pStyle w:val="39"/>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88BFF">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B88BFF">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328F">
    <w:pPr>
      <w:pStyle w:val="39"/>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38396">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D038396">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6C1D">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B1C92">
                          <w:pPr>
                            <w:pStyle w:val="39"/>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4B1C92">
                    <w:pPr>
                      <w:pStyle w:val="3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8C76">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732E0">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C732E0">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4764">
    <w:pPr>
      <w:pStyle w:val="3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FA56A">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3DFA56A">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BC76">
    <w:pPr>
      <w:pStyle w:val="3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C4A4C">
                          <w:pPr>
                            <w:pStyle w:val="39"/>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C5C4A4C">
                    <w:pPr>
                      <w:pStyle w:val="39"/>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4E7D">
    <w:pPr>
      <w:pStyle w:val="39"/>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16C8D8">
                          <w:pPr>
                            <w:pStyle w:val="39"/>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316C8D8">
                    <w:pPr>
                      <w:pStyle w:val="39"/>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8507">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FEEE5">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CFEEE5">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1739AF4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E8BF">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129AF">
                          <w:pPr>
                            <w:pStyle w:val="39"/>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9E129AF">
                    <w:pPr>
                      <w:pStyle w:val="39"/>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48C4F6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3FDD">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94BF9">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B94BF9">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1DE6818D">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4AAA">
    <w:r>
      <w:t></w:t>
    </w:r>
    <w:r>
      <w:rPr>
        <w:rFonts w:hint="eastAsia"/>
      </w:rPr>
      <w:t xml:space="preserve">            </w:t>
    </w:r>
  </w:p>
  <w:p w14:paraId="58FD6E0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B0FC">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D76">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03A2">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B8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B976">
    <w:r>
      <w:t></w:t>
    </w:r>
    <w:r>
      <w:rPr>
        <w:rFonts w:hint="eastAsia"/>
      </w:rPr>
      <w:t xml:space="preserve">                                                  </w:t>
    </w:r>
    <w:r>
      <w:t xml:space="preserve">                     </w:t>
    </w:r>
  </w:p>
  <w:p w14:paraId="15FC53B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29F91">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E283">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7F43">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434C">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7ED8F">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79354C"/>
    <w:rsid w:val="077C0C7C"/>
    <w:rsid w:val="077F6295"/>
    <w:rsid w:val="07D6686A"/>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915FD8"/>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6C1082"/>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02850"/>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8D39EE"/>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D83C0C"/>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0C7472"/>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1F46C12"/>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9D648A"/>
    <w:rsid w:val="3EAF4836"/>
    <w:rsid w:val="3EC33DFA"/>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15B66"/>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C360BB"/>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1B78A4"/>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0754E7"/>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406787"/>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23E07"/>
    <w:rsid w:val="5FE34A5B"/>
    <w:rsid w:val="5FFE1E36"/>
    <w:rsid w:val="600E4517"/>
    <w:rsid w:val="60232584"/>
    <w:rsid w:val="6065283C"/>
    <w:rsid w:val="607330CE"/>
    <w:rsid w:val="60825176"/>
    <w:rsid w:val="608D10A6"/>
    <w:rsid w:val="60937EE0"/>
    <w:rsid w:val="609F2AC4"/>
    <w:rsid w:val="60CF108E"/>
    <w:rsid w:val="60D43B58"/>
    <w:rsid w:val="60F44FE8"/>
    <w:rsid w:val="60FA2EE8"/>
    <w:rsid w:val="61054A27"/>
    <w:rsid w:val="610A52BC"/>
    <w:rsid w:val="611C38A4"/>
    <w:rsid w:val="611D2366"/>
    <w:rsid w:val="61421856"/>
    <w:rsid w:val="615227C4"/>
    <w:rsid w:val="61654E3F"/>
    <w:rsid w:val="6182292A"/>
    <w:rsid w:val="618229A0"/>
    <w:rsid w:val="618D1415"/>
    <w:rsid w:val="619F7F92"/>
    <w:rsid w:val="61F94C26"/>
    <w:rsid w:val="62000E56"/>
    <w:rsid w:val="624F3E49"/>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66773"/>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4A7045"/>
    <w:rsid w:val="6D9078AF"/>
    <w:rsid w:val="6D9F7038"/>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50121"/>
    <w:rsid w:val="77472422"/>
    <w:rsid w:val="777F31F2"/>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163AD"/>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4725D1"/>
    <w:rsid w:val="7E5C7A06"/>
    <w:rsid w:val="7E750A33"/>
    <w:rsid w:val="7E795122"/>
    <w:rsid w:val="7E88390B"/>
    <w:rsid w:val="7E9A4E1F"/>
    <w:rsid w:val="7EA7723A"/>
    <w:rsid w:val="7EDF3993"/>
    <w:rsid w:val="7EE718FB"/>
    <w:rsid w:val="7EEF4326"/>
    <w:rsid w:val="7EF56FBB"/>
    <w:rsid w:val="7F0768EB"/>
    <w:rsid w:val="7F143BEC"/>
    <w:rsid w:val="7F3B48A0"/>
    <w:rsid w:val="7F5F61A8"/>
    <w:rsid w:val="7F715AF2"/>
    <w:rsid w:val="7F886E69"/>
    <w:rsid w:val="7FC627FF"/>
    <w:rsid w:val="7FDB3BED"/>
    <w:rsid w:val="7FFA03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6"/>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4">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5">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6">
    <w:name w:val="heading 4"/>
    <w:basedOn w:val="1"/>
    <w:next w:val="1"/>
    <w:link w:val="330"/>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268"/>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5"/>
    <w:autoRedefine/>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92"/>
    <w:autoRedefine/>
    <w:qFormat/>
    <w:uiPriority w:val="0"/>
    <w:rPr>
      <w:sz w:val="18"/>
      <w:szCs w:val="18"/>
    </w:rPr>
  </w:style>
  <w:style w:type="paragraph" w:styleId="39">
    <w:name w:val="footer"/>
    <w:basedOn w:val="1"/>
    <w:link w:val="386"/>
    <w:autoRedefine/>
    <w:qFormat/>
    <w:uiPriority w:val="99"/>
    <w:pPr>
      <w:tabs>
        <w:tab w:val="center" w:pos="4153"/>
        <w:tab w:val="right" w:pos="8306"/>
      </w:tabs>
      <w:snapToGrid w:val="0"/>
      <w:jc w:val="left"/>
    </w:pPr>
    <w:rPr>
      <w:sz w:val="18"/>
      <w:szCs w:val="18"/>
    </w:rPr>
  </w:style>
  <w:style w:type="paragraph" w:styleId="40">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5"/>
    <w:autoRedefine/>
    <w:qFormat/>
    <w:uiPriority w:val="0"/>
    <w:pPr>
      <w:spacing w:after="120" w:line="480" w:lineRule="auto"/>
    </w:pPr>
  </w:style>
  <w:style w:type="paragraph" w:styleId="56">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0"/>
    <w:autoRedefine/>
    <w:qFormat/>
    <w:uiPriority w:val="0"/>
    <w:rPr>
      <w:b/>
      <w:bCs/>
    </w:rPr>
  </w:style>
  <w:style w:type="paragraph" w:styleId="60">
    <w:name w:val="Body Text First Indent"/>
    <w:basedOn w:val="24"/>
    <w:next w:val="1"/>
    <w:link w:val="324"/>
    <w:autoRedefine/>
    <w:qFormat/>
    <w:uiPriority w:val="0"/>
    <w:pPr>
      <w:ind w:firstLine="420"/>
    </w:pPr>
    <w:rPr>
      <w:rFonts w:hAnsi="Calibri" w:cs="Times New Roman"/>
      <w:snapToGrid/>
      <w:szCs w:val="20"/>
    </w:rPr>
  </w:style>
  <w:style w:type="paragraph" w:styleId="61">
    <w:name w:val="Body Text First Indent 2"/>
    <w:basedOn w:val="2"/>
    <w:next w:val="60"/>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Body Text First Indent 21"/>
    <w:basedOn w:val="81"/>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1">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firstLineChars="20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59"/>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6"/>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5"/>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8"/>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29"/>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8"/>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6"/>
    <w:autoRedefine/>
    <w:qFormat/>
    <w:uiPriority w:val="0"/>
    <w:rPr>
      <w:rFonts w:ascii="黑体" w:hAnsi="Courier New" w:eastAsia="黑体"/>
    </w:rPr>
  </w:style>
  <w:style w:type="character" w:customStyle="1" w:styleId="305">
    <w:name w:val="正文文本 2 Char1"/>
    <w:link w:val="55"/>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49"/>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0"/>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2"/>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autoRedefine/>
    <w:qFormat/>
    <w:uiPriority w:val="99"/>
    <w:rPr>
      <w:kern w:val="2"/>
      <w:sz w:val="21"/>
      <w:szCs w:val="24"/>
    </w:rPr>
  </w:style>
  <w:style w:type="character" w:customStyle="1" w:styleId="348">
    <w:name w:val="签名 Char"/>
    <w:link w:val="41"/>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2"/>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39"/>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0"/>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7"/>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9">
    <w:name w:val="NormalCharacter"/>
    <w:autoRedefine/>
    <w:qFormat/>
    <w:uiPriority w:val="0"/>
  </w:style>
  <w:style w:type="paragraph" w:customStyle="1" w:styleId="970">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123</Pages>
  <Words>1481</Words>
  <Characters>1690</Characters>
  <Lines>284</Lines>
  <Paragraphs>80</Paragraphs>
  <TotalTime>69</TotalTime>
  <ScaleCrop>false</ScaleCrop>
  <LinksUpToDate>false</LinksUpToDate>
  <CharactersWithSpaces>1758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哈哈</cp:lastModifiedBy>
  <cp:lastPrinted>2021-12-27T03:06:00Z</cp:lastPrinted>
  <dcterms:modified xsi:type="dcterms:W3CDTF">2025-07-29T08:48:54Z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20631B49DF6A41AD8A67DB16CC8B3EE3_13</vt:lpwstr>
  </property>
  <property fmtid="{D5CDD505-2E9C-101B-9397-08002B2CF9AE}" pid="5" name="KSOTemplateDocerSaveRecord">
    <vt:lpwstr>eyJoZGlkIjoiNGQyZDdlMDM0ZGVjM2RhYWQxMjdlNGMwMzdlNTI0MmIiLCJ1c2VySWQiOiIyMDY5NDcyOTMifQ==</vt:lpwstr>
  </property>
</Properties>
</file>